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EF559" w14:textId="31265EC8" w:rsidR="00CF784A" w:rsidRPr="009D1AD3" w:rsidRDefault="00CF784A" w:rsidP="00E06804">
      <w:pPr>
        <w:spacing w:before="200"/>
        <w:ind w:left="450" w:right="720"/>
        <w:rPr>
          <w:rFonts w:ascii="Times New Roman" w:eastAsia="Calibri" w:hAnsi="Times New Roman" w:cs="Times New Roman"/>
          <w:b/>
          <w:sz w:val="24"/>
          <w:szCs w:val="24"/>
        </w:rPr>
      </w:pPr>
      <w:bookmarkStart w:id="0" w:name="_GoBack"/>
      <w:bookmarkEnd w:id="0"/>
    </w:p>
    <w:p w14:paraId="41E702F9" w14:textId="374C0ED7" w:rsidR="00B84646" w:rsidRPr="009D1AD3" w:rsidRDefault="00B84646" w:rsidP="00021C4B">
      <w:pPr>
        <w:rPr>
          <w:rFonts w:ascii="Times New Roman" w:eastAsia="Calibri" w:hAnsi="Times New Roman" w:cs="Times New Roman"/>
          <w:sz w:val="24"/>
          <w:szCs w:val="24"/>
        </w:rPr>
      </w:pPr>
    </w:p>
    <w:p w14:paraId="2EF646EC" w14:textId="77777777" w:rsidR="00021C4B" w:rsidRPr="009D1AD3" w:rsidRDefault="00021C4B" w:rsidP="00021C4B">
      <w:pPr>
        <w:rPr>
          <w:rFonts w:ascii="Times New Roman" w:eastAsia="Calibri" w:hAnsi="Times New Roman" w:cs="Times New Roman"/>
          <w:sz w:val="24"/>
          <w:szCs w:val="24"/>
        </w:rPr>
      </w:pPr>
      <w:r w:rsidRPr="009D1AD3">
        <w:rPr>
          <w:rFonts w:ascii="Times New Roman" w:eastAsia="Calibri" w:hAnsi="Times New Roman" w:cs="Times New Roman"/>
          <w:sz w:val="24"/>
          <w:szCs w:val="24"/>
        </w:rPr>
        <w:t>November 1</w:t>
      </w:r>
      <w:r w:rsidRPr="009D1AD3">
        <w:rPr>
          <w:rFonts w:ascii="Times New Roman" w:eastAsia="Calibri" w:hAnsi="Times New Roman" w:cs="Times New Roman"/>
          <w:sz w:val="24"/>
          <w:szCs w:val="24"/>
          <w:vertAlign w:val="superscript"/>
        </w:rPr>
        <w:t>st</w:t>
      </w:r>
      <w:r w:rsidRPr="009D1AD3">
        <w:rPr>
          <w:rFonts w:ascii="Times New Roman" w:eastAsia="Calibri" w:hAnsi="Times New Roman" w:cs="Times New Roman"/>
          <w:sz w:val="24"/>
          <w:szCs w:val="24"/>
        </w:rPr>
        <w:t>, 2018</w:t>
      </w:r>
    </w:p>
    <w:p w14:paraId="0E4650CD" w14:textId="77777777" w:rsidR="00021C4B" w:rsidRPr="009D1AD3" w:rsidRDefault="00021C4B" w:rsidP="00021C4B">
      <w:pPr>
        <w:rPr>
          <w:rFonts w:ascii="Times New Roman" w:eastAsia="Calibri" w:hAnsi="Times New Roman" w:cs="Times New Roman"/>
          <w:sz w:val="24"/>
          <w:szCs w:val="24"/>
        </w:rPr>
      </w:pPr>
    </w:p>
    <w:p w14:paraId="5B21936D" w14:textId="390BA1AE" w:rsidR="00021C4B" w:rsidRPr="009D1AD3" w:rsidRDefault="00021C4B" w:rsidP="00021C4B">
      <w:pPr>
        <w:rPr>
          <w:rFonts w:ascii="Times New Roman" w:eastAsia="Calibri" w:hAnsi="Times New Roman" w:cs="Times New Roman"/>
          <w:b/>
          <w:sz w:val="24"/>
          <w:szCs w:val="24"/>
        </w:rPr>
      </w:pPr>
      <w:r w:rsidRPr="009D1AD3">
        <w:rPr>
          <w:rFonts w:ascii="Times New Roman" w:eastAsia="Calibri" w:hAnsi="Times New Roman" w:cs="Times New Roman"/>
          <w:b/>
          <w:sz w:val="24"/>
          <w:szCs w:val="24"/>
        </w:rPr>
        <w:t>Response to Feedback</w:t>
      </w:r>
    </w:p>
    <w:p w14:paraId="7D1425CE" w14:textId="08FB519E" w:rsidR="00021C4B" w:rsidRPr="009D1AD3" w:rsidRDefault="00021C4B" w:rsidP="00021C4B">
      <w:pPr>
        <w:rPr>
          <w:rFonts w:ascii="Times New Roman" w:eastAsia="Calibri" w:hAnsi="Times New Roman" w:cs="Times New Roman"/>
          <w:sz w:val="24"/>
          <w:szCs w:val="24"/>
        </w:rPr>
      </w:pPr>
    </w:p>
    <w:p w14:paraId="1B74D1BC" w14:textId="269EBBF9" w:rsidR="00021C4B" w:rsidRPr="009D1AD3" w:rsidRDefault="00021C4B" w:rsidP="00021C4B">
      <w:pPr>
        <w:rPr>
          <w:rFonts w:ascii="Times New Roman" w:eastAsia="Calibri" w:hAnsi="Times New Roman" w:cs="Times New Roman"/>
          <w:sz w:val="24"/>
          <w:szCs w:val="24"/>
        </w:rPr>
      </w:pPr>
      <w:r w:rsidRPr="009D1AD3">
        <w:rPr>
          <w:rFonts w:ascii="Times New Roman" w:eastAsia="Calibri" w:hAnsi="Times New Roman" w:cs="Times New Roman"/>
          <w:sz w:val="24"/>
          <w:szCs w:val="24"/>
        </w:rPr>
        <w:t>We thank you for the feedback provided on October 1</w:t>
      </w:r>
      <w:r w:rsidRPr="009D1AD3">
        <w:rPr>
          <w:rFonts w:ascii="Times New Roman" w:eastAsia="Calibri" w:hAnsi="Times New Roman" w:cs="Times New Roman"/>
          <w:sz w:val="24"/>
          <w:szCs w:val="24"/>
          <w:vertAlign w:val="superscript"/>
        </w:rPr>
        <w:t>st</w:t>
      </w:r>
      <w:r w:rsidRPr="009D1AD3">
        <w:rPr>
          <w:rFonts w:ascii="Times New Roman" w:eastAsia="Calibri" w:hAnsi="Times New Roman" w:cs="Times New Roman"/>
          <w:sz w:val="24"/>
          <w:szCs w:val="24"/>
        </w:rPr>
        <w:t>, 2018.  Below we note the feedback that you provided and how we’ve responded to such feedback.  We look forward to hosting AAQEP at our upcoming site visit.</w:t>
      </w:r>
    </w:p>
    <w:p w14:paraId="6FA358F6" w14:textId="77777777" w:rsidR="00021C4B" w:rsidRPr="009D1AD3" w:rsidRDefault="00021C4B" w:rsidP="00021C4B">
      <w:pPr>
        <w:rPr>
          <w:rFonts w:ascii="Times New Roman" w:eastAsia="Calibri" w:hAnsi="Times New Roman" w:cs="Times New Roman"/>
          <w:sz w:val="24"/>
          <w:szCs w:val="24"/>
        </w:rPr>
      </w:pPr>
    </w:p>
    <w:tbl>
      <w:tblPr>
        <w:tblStyle w:val="TableGrid"/>
        <w:tblW w:w="0" w:type="auto"/>
        <w:tblInd w:w="-5" w:type="dxa"/>
        <w:tblLook w:val="04A0" w:firstRow="1" w:lastRow="0" w:firstColumn="1" w:lastColumn="0" w:noHBand="0" w:noVBand="1"/>
      </w:tblPr>
      <w:tblGrid>
        <w:gridCol w:w="5760"/>
        <w:gridCol w:w="5035"/>
      </w:tblGrid>
      <w:tr w:rsidR="00021C4B" w:rsidRPr="009D1AD3" w14:paraId="5DA59B91" w14:textId="77777777" w:rsidTr="009D1AD3">
        <w:tc>
          <w:tcPr>
            <w:tcW w:w="5760" w:type="dxa"/>
          </w:tcPr>
          <w:p w14:paraId="4DA8E185" w14:textId="754A0A61" w:rsidR="00021C4B" w:rsidRPr="009D1AD3" w:rsidRDefault="00021C4B" w:rsidP="00CF784A">
            <w:pPr>
              <w:rPr>
                <w:rFonts w:ascii="Times New Roman" w:eastAsia="Calibri" w:hAnsi="Times New Roman" w:cs="Times New Roman"/>
              </w:rPr>
            </w:pPr>
            <w:r w:rsidRPr="009D1AD3">
              <w:rPr>
                <w:rFonts w:ascii="Times New Roman" w:eastAsia="Calibri" w:hAnsi="Times New Roman" w:cs="Times New Roman"/>
              </w:rPr>
              <w:t xml:space="preserve">General Feedback </w:t>
            </w:r>
          </w:p>
        </w:tc>
        <w:tc>
          <w:tcPr>
            <w:tcW w:w="5035" w:type="dxa"/>
          </w:tcPr>
          <w:p w14:paraId="62E09AF5" w14:textId="6ADDC10E" w:rsidR="00021C4B" w:rsidRPr="009D1AD3" w:rsidRDefault="00021C4B" w:rsidP="00CF784A">
            <w:pPr>
              <w:rPr>
                <w:rFonts w:ascii="Times New Roman" w:eastAsia="Calibri" w:hAnsi="Times New Roman" w:cs="Times New Roman"/>
              </w:rPr>
            </w:pPr>
            <w:r w:rsidRPr="009D1AD3">
              <w:rPr>
                <w:rFonts w:ascii="Times New Roman" w:eastAsia="Calibri" w:hAnsi="Times New Roman" w:cs="Times New Roman"/>
              </w:rPr>
              <w:t>Response</w:t>
            </w:r>
          </w:p>
        </w:tc>
      </w:tr>
      <w:tr w:rsidR="004A1E85" w:rsidRPr="009D1AD3" w14:paraId="403D0D08" w14:textId="77777777" w:rsidTr="009D1AD3">
        <w:tc>
          <w:tcPr>
            <w:tcW w:w="5760" w:type="dxa"/>
          </w:tcPr>
          <w:p w14:paraId="621979BF" w14:textId="2A9B95A5"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t xml:space="preserve">In terms of formatting, some exhibits are repeated in more than one place in the document. That’s probably not necessary (although one of the displays, the internship experiences list, is altered to include more information in the second use; the version with more info could be placed where it is, and referred to by page number (see 3 below) in its first instance. </w:t>
            </w:r>
            <w:r w:rsidRPr="009D1AD3">
              <w:rPr>
                <w:rFonts w:ascii="Times New Roman" w:eastAsia="Calibri" w:hAnsi="Times New Roman" w:cs="Times New Roman"/>
              </w:rPr>
              <w:br/>
            </w:r>
          </w:p>
        </w:tc>
        <w:tc>
          <w:tcPr>
            <w:tcW w:w="5035" w:type="dxa"/>
          </w:tcPr>
          <w:p w14:paraId="0660878E" w14:textId="5193FAC1" w:rsidR="004A1E85" w:rsidRPr="009D1AD3" w:rsidRDefault="000E3EAB" w:rsidP="004A1E85">
            <w:pPr>
              <w:rPr>
                <w:rFonts w:ascii="Times New Roman" w:eastAsia="Calibri" w:hAnsi="Times New Roman" w:cs="Times New Roman"/>
              </w:rPr>
            </w:pPr>
            <w:r>
              <w:rPr>
                <w:rFonts w:ascii="Times New Roman" w:eastAsia="Calibri" w:hAnsi="Times New Roman" w:cs="Times New Roman"/>
              </w:rPr>
              <w:t>We removed any redundancy in tables, specifically the Internship Experiences List, as well as any redundancy in the INSPIRE survey data</w:t>
            </w:r>
            <w:r w:rsidR="00F431C4">
              <w:rPr>
                <w:rFonts w:ascii="Times New Roman" w:eastAsia="Calibri" w:hAnsi="Times New Roman" w:cs="Times New Roman"/>
              </w:rPr>
              <w:t xml:space="preserve"> and the UEL Standard</w:t>
            </w:r>
            <w:r w:rsidR="003B7C1B">
              <w:rPr>
                <w:rFonts w:ascii="Times New Roman" w:eastAsia="Calibri" w:hAnsi="Times New Roman" w:cs="Times New Roman"/>
              </w:rPr>
              <w:t xml:space="preserve">s-based </w:t>
            </w:r>
            <w:r w:rsidR="00F431C4">
              <w:rPr>
                <w:rFonts w:ascii="Times New Roman" w:eastAsia="Calibri" w:hAnsi="Times New Roman" w:cs="Times New Roman"/>
              </w:rPr>
              <w:t>Curriculum Matrix</w:t>
            </w:r>
            <w:r>
              <w:rPr>
                <w:rFonts w:ascii="Times New Roman" w:eastAsia="Calibri" w:hAnsi="Times New Roman" w:cs="Times New Roman"/>
              </w:rPr>
              <w:t>.  When these data are referred to in subsequent instances, the page numbers are now noted accordingly</w:t>
            </w:r>
            <w:r w:rsidR="00F431C4">
              <w:rPr>
                <w:rFonts w:ascii="Times New Roman" w:eastAsia="Calibri" w:hAnsi="Times New Roman" w:cs="Times New Roman"/>
              </w:rPr>
              <w:t>.</w:t>
            </w:r>
            <w:r>
              <w:rPr>
                <w:rFonts w:ascii="Times New Roman" w:eastAsia="Calibri" w:hAnsi="Times New Roman" w:cs="Times New Roman"/>
              </w:rPr>
              <w:t xml:space="preserve"> </w:t>
            </w:r>
          </w:p>
        </w:tc>
      </w:tr>
      <w:tr w:rsidR="004A1E85" w:rsidRPr="009D1AD3" w14:paraId="3603FCC6" w14:textId="77777777" w:rsidTr="009D1AD3">
        <w:tc>
          <w:tcPr>
            <w:tcW w:w="5760" w:type="dxa"/>
          </w:tcPr>
          <w:p w14:paraId="0129B976" w14:textId="2DC8B6A8"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t>Page numbers in the PDF document would facilitate references and discussion of specific points in the text in conversations among reviewers and between reviewers and representatives of AAQEP and USU.</w:t>
            </w:r>
            <w:r w:rsidRPr="009D1AD3">
              <w:rPr>
                <w:rFonts w:ascii="Times New Roman" w:eastAsia="Calibri" w:hAnsi="Times New Roman" w:cs="Times New Roman"/>
              </w:rPr>
              <w:br/>
            </w:r>
          </w:p>
        </w:tc>
        <w:tc>
          <w:tcPr>
            <w:tcW w:w="5035" w:type="dxa"/>
          </w:tcPr>
          <w:p w14:paraId="38BC9745" w14:textId="22D51250" w:rsidR="004A1E85" w:rsidRPr="009D1AD3" w:rsidRDefault="00034D69" w:rsidP="004A1E85">
            <w:pPr>
              <w:rPr>
                <w:rFonts w:ascii="Times New Roman" w:eastAsia="Calibri" w:hAnsi="Times New Roman" w:cs="Times New Roman"/>
              </w:rPr>
            </w:pPr>
            <w:r>
              <w:rPr>
                <w:rFonts w:ascii="Times New Roman" w:eastAsia="Calibri" w:hAnsi="Times New Roman" w:cs="Times New Roman"/>
              </w:rPr>
              <w:t>Page numbers are now noted throughout the report.</w:t>
            </w:r>
          </w:p>
        </w:tc>
      </w:tr>
      <w:tr w:rsidR="004A1E85" w:rsidRPr="009D1AD3" w14:paraId="0BA4B773" w14:textId="77777777" w:rsidTr="009D1AD3">
        <w:tc>
          <w:tcPr>
            <w:tcW w:w="5760" w:type="dxa"/>
          </w:tcPr>
          <w:p w14:paraId="5204FA8A" w14:textId="08140B19"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t>Inconsequential note: Under ‘program rationale’ … “</w:t>
            </w:r>
            <w:r w:rsidRPr="009D1AD3">
              <w:rPr>
                <w:rFonts w:ascii="Times New Roman" w:hAnsi="Times New Roman" w:cs="Times New Roman"/>
              </w:rPr>
              <w:t>The Faculty regularly self-evaluates the curriculum”. Just ‘regularly evaluates the’</w:t>
            </w:r>
            <w:r w:rsidRPr="009D1AD3">
              <w:rPr>
                <w:rFonts w:ascii="Times New Roman" w:hAnsi="Times New Roman" w:cs="Times New Roman"/>
              </w:rPr>
              <w:br/>
            </w:r>
          </w:p>
        </w:tc>
        <w:tc>
          <w:tcPr>
            <w:tcW w:w="5035" w:type="dxa"/>
          </w:tcPr>
          <w:p w14:paraId="240C6C55" w14:textId="45ACEA8D" w:rsidR="004A1E85" w:rsidRPr="009D1AD3" w:rsidRDefault="0077368A" w:rsidP="004A1E85">
            <w:pPr>
              <w:rPr>
                <w:rFonts w:ascii="Times New Roman" w:eastAsia="Calibri" w:hAnsi="Times New Roman" w:cs="Times New Roman"/>
              </w:rPr>
            </w:pPr>
            <w:r>
              <w:rPr>
                <w:rFonts w:ascii="Times New Roman" w:eastAsia="Calibri" w:hAnsi="Times New Roman" w:cs="Times New Roman"/>
              </w:rPr>
              <w:t>This text was modified – see p. 8.</w:t>
            </w:r>
          </w:p>
        </w:tc>
      </w:tr>
      <w:tr w:rsidR="004A1E85" w:rsidRPr="009D1AD3" w14:paraId="722B0F62" w14:textId="77777777" w:rsidTr="009D1AD3">
        <w:tc>
          <w:tcPr>
            <w:tcW w:w="5760" w:type="dxa"/>
          </w:tcPr>
          <w:p w14:paraId="491E5D97" w14:textId="03FA7D2D"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t>Standard 1: Please see comments in the section for Standard 1 below.  In addition, while it is helpful to have three years of INSPIRE data available in its aggregate report form on the website, the report itself only discusses the most recent administration which includes responses from 16 individuals. Reviewers off- and on-site could dig into the other two years to see if there are trends in the data, but it might be helpful if that kind of display were included in the report itself. And reviewers are likely to ask the program faculty what trends they have seen and what they make of them.</w:t>
            </w:r>
            <w:r w:rsidRPr="009D1AD3">
              <w:rPr>
                <w:rFonts w:ascii="Times New Roman" w:eastAsia="Calibri" w:hAnsi="Times New Roman" w:cs="Times New Roman"/>
              </w:rPr>
              <w:br/>
            </w:r>
          </w:p>
        </w:tc>
        <w:tc>
          <w:tcPr>
            <w:tcW w:w="5035" w:type="dxa"/>
          </w:tcPr>
          <w:p w14:paraId="5D64FC94" w14:textId="68BA4759" w:rsidR="004A1E85" w:rsidRDefault="008E55E0" w:rsidP="004A1E85">
            <w:pPr>
              <w:rPr>
                <w:rFonts w:ascii="Times New Roman" w:eastAsia="Calibri" w:hAnsi="Times New Roman" w:cs="Times New Roman"/>
              </w:rPr>
            </w:pPr>
            <w:r>
              <w:rPr>
                <w:rFonts w:ascii="Times New Roman" w:eastAsia="Calibri" w:hAnsi="Times New Roman" w:cs="Times New Roman"/>
              </w:rPr>
              <w:t>Previously we included selected questions or domains from the INSIPRE 2018 results.  In order to provide richer data, u</w:t>
            </w:r>
            <w:r w:rsidR="008B65B8">
              <w:rPr>
                <w:rFonts w:ascii="Times New Roman" w:eastAsia="Calibri" w:hAnsi="Times New Roman" w:cs="Times New Roman"/>
              </w:rPr>
              <w:t>pdated tables have been provided throughout the report, including:</w:t>
            </w:r>
          </w:p>
          <w:p w14:paraId="66CDBBED" w14:textId="2865B313" w:rsidR="008B65B8" w:rsidRDefault="008B65B8" w:rsidP="008B65B8">
            <w:pPr>
              <w:pStyle w:val="ListParagraph"/>
              <w:numPr>
                <w:ilvl w:val="0"/>
                <w:numId w:val="24"/>
              </w:numPr>
              <w:rPr>
                <w:rFonts w:ascii="Times New Roman" w:eastAsia="Calibri" w:hAnsi="Times New Roman" w:cs="Times New Roman"/>
              </w:rPr>
            </w:pPr>
            <w:r>
              <w:rPr>
                <w:rFonts w:ascii="Times New Roman" w:eastAsia="Calibri" w:hAnsi="Times New Roman" w:cs="Times New Roman"/>
              </w:rPr>
              <w:t>Tables that include 4 years of USU INSPIRE results</w:t>
            </w:r>
            <w:r w:rsidR="0040506D">
              <w:rPr>
                <w:rFonts w:ascii="Times New Roman" w:eastAsia="Calibri" w:hAnsi="Times New Roman" w:cs="Times New Roman"/>
              </w:rPr>
              <w:t>.</w:t>
            </w:r>
          </w:p>
          <w:p w14:paraId="23640615" w14:textId="54DE7AE4" w:rsidR="008B65B8" w:rsidRDefault="008B65B8" w:rsidP="008B65B8">
            <w:pPr>
              <w:pStyle w:val="ListParagraph"/>
              <w:numPr>
                <w:ilvl w:val="0"/>
                <w:numId w:val="24"/>
              </w:numPr>
              <w:rPr>
                <w:rFonts w:ascii="Times New Roman" w:eastAsia="Calibri" w:hAnsi="Times New Roman" w:cs="Times New Roman"/>
              </w:rPr>
            </w:pPr>
            <w:r>
              <w:rPr>
                <w:rFonts w:ascii="Times New Roman" w:eastAsia="Calibri" w:hAnsi="Times New Roman" w:cs="Times New Roman"/>
              </w:rPr>
              <w:t>Tables that provide USU and state normative data (2018 INSPIRE data)</w:t>
            </w:r>
            <w:r w:rsidR="0091667F">
              <w:rPr>
                <w:rFonts w:ascii="Times New Roman" w:eastAsia="Calibri" w:hAnsi="Times New Roman" w:cs="Times New Roman"/>
              </w:rPr>
              <w:t>.</w:t>
            </w:r>
          </w:p>
          <w:p w14:paraId="42F3FEE6" w14:textId="77777777" w:rsidR="008B65B8" w:rsidRDefault="008B65B8" w:rsidP="008B65B8">
            <w:pPr>
              <w:pStyle w:val="ListParagraph"/>
              <w:numPr>
                <w:ilvl w:val="0"/>
                <w:numId w:val="24"/>
              </w:numPr>
              <w:rPr>
                <w:rFonts w:ascii="Times New Roman" w:eastAsia="Calibri" w:hAnsi="Times New Roman" w:cs="Times New Roman"/>
              </w:rPr>
            </w:pPr>
            <w:r>
              <w:rPr>
                <w:rFonts w:ascii="Times New Roman" w:eastAsia="Calibri" w:hAnsi="Times New Roman" w:cs="Times New Roman"/>
              </w:rPr>
              <w:t>Tables that provide USU and national normative data (only 2017 INSPIRE data are available).</w:t>
            </w:r>
          </w:p>
          <w:p w14:paraId="7455B051" w14:textId="77777777" w:rsidR="0040506D" w:rsidRDefault="0040506D" w:rsidP="0040506D">
            <w:pPr>
              <w:rPr>
                <w:rFonts w:ascii="Times New Roman" w:eastAsia="Calibri" w:hAnsi="Times New Roman" w:cs="Times New Roman"/>
              </w:rPr>
            </w:pPr>
          </w:p>
          <w:p w14:paraId="2CF94725" w14:textId="4D96EEE2" w:rsidR="0040506D" w:rsidRPr="0040506D" w:rsidRDefault="0040506D" w:rsidP="0040506D">
            <w:pPr>
              <w:rPr>
                <w:rFonts w:ascii="Times New Roman" w:eastAsia="Calibri" w:hAnsi="Times New Roman" w:cs="Times New Roman"/>
              </w:rPr>
            </w:pPr>
            <w:r>
              <w:rPr>
                <w:rFonts w:ascii="Times New Roman" w:eastAsia="Calibri" w:hAnsi="Times New Roman" w:cs="Times New Roman"/>
              </w:rPr>
              <w:t>New data interpretation headings</w:t>
            </w:r>
            <w:r w:rsidR="00ED2251">
              <w:rPr>
                <w:rFonts w:ascii="Times New Roman" w:eastAsia="Calibri" w:hAnsi="Times New Roman" w:cs="Times New Roman"/>
              </w:rPr>
              <w:t xml:space="preserve"> (see, for example, p. 1</w:t>
            </w:r>
            <w:r w:rsidR="00F725E4">
              <w:rPr>
                <w:rFonts w:ascii="Times New Roman" w:eastAsia="Calibri" w:hAnsi="Times New Roman" w:cs="Times New Roman"/>
              </w:rPr>
              <w:t>8</w:t>
            </w:r>
            <w:r w:rsidR="00ED2251">
              <w:rPr>
                <w:rFonts w:ascii="Times New Roman" w:eastAsia="Calibri" w:hAnsi="Times New Roman" w:cs="Times New Roman"/>
              </w:rPr>
              <w:t>)</w:t>
            </w:r>
            <w:r>
              <w:rPr>
                <w:rFonts w:ascii="Times New Roman" w:eastAsia="Calibri" w:hAnsi="Times New Roman" w:cs="Times New Roman"/>
              </w:rPr>
              <w:t xml:space="preserve"> were added to the document to illustrate how Instructional Leadership faculty are making sense of the data</w:t>
            </w:r>
            <w:r w:rsidR="009E645B">
              <w:rPr>
                <w:rFonts w:ascii="Times New Roman" w:eastAsia="Calibri" w:hAnsi="Times New Roman" w:cs="Times New Roman"/>
              </w:rPr>
              <w:t xml:space="preserve"> for program improvement purposes.</w:t>
            </w:r>
          </w:p>
        </w:tc>
      </w:tr>
      <w:tr w:rsidR="004A1E85" w:rsidRPr="009D1AD3" w14:paraId="523AC3F0" w14:textId="77777777" w:rsidTr="009D1AD3">
        <w:tc>
          <w:tcPr>
            <w:tcW w:w="5760" w:type="dxa"/>
          </w:tcPr>
          <w:p w14:paraId="78FA2499" w14:textId="3BA0D893"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t xml:space="preserve">Standard 2: There is a lot of repetition in presentation from Standard 1. The argument (if I’m reading it right) is basically that the foundation has been provided for the specific aspects of the standard (as shown in Std 1), and </w:t>
            </w:r>
            <w:r w:rsidRPr="009D1AD3">
              <w:rPr>
                <w:rFonts w:ascii="Times New Roman" w:eastAsia="Calibri" w:hAnsi="Times New Roman" w:cs="Times New Roman"/>
              </w:rPr>
              <w:lastRenderedPageBreak/>
              <w:t xml:space="preserve">that the proof that completers are ready to go on learning is really in the focus group data. (And when exactly was the INSPIRE survey administered? Just at the point of completion, or are the respondents completers who are really looking back at what they’ve experience a year or more out? I can’t tell if it is ‘point of completion’ data, which supports the first part of the argument, or if it is a year out, which would support the second part of the argument). </w:t>
            </w:r>
          </w:p>
        </w:tc>
        <w:tc>
          <w:tcPr>
            <w:tcW w:w="5035" w:type="dxa"/>
          </w:tcPr>
          <w:p w14:paraId="2F5B077B" w14:textId="443F76AD" w:rsidR="004A1E85" w:rsidRPr="009D1AD3" w:rsidRDefault="005021AD" w:rsidP="004A1E85">
            <w:pPr>
              <w:rPr>
                <w:rFonts w:ascii="Times New Roman" w:eastAsia="Calibri" w:hAnsi="Times New Roman" w:cs="Times New Roman"/>
              </w:rPr>
            </w:pPr>
            <w:r>
              <w:rPr>
                <w:rFonts w:ascii="Times New Roman" w:eastAsia="Calibri" w:hAnsi="Times New Roman" w:cs="Times New Roman"/>
              </w:rPr>
              <w:lastRenderedPageBreak/>
              <w:t xml:space="preserve">More information was added to the report to indicate when INSPIRE survey data are collected (see p. 12).  The INSPIRE survey is intended to reflect the perceptions </w:t>
            </w:r>
            <w:r w:rsidR="001417D6">
              <w:rPr>
                <w:rFonts w:ascii="Times New Roman" w:eastAsia="Calibri" w:hAnsi="Times New Roman" w:cs="Times New Roman"/>
              </w:rPr>
              <w:t xml:space="preserve">of those after they have </w:t>
            </w:r>
            <w:r w:rsidR="001417D6">
              <w:rPr>
                <w:rFonts w:ascii="Times New Roman" w:eastAsia="Calibri" w:hAnsi="Times New Roman" w:cs="Times New Roman"/>
              </w:rPr>
              <w:lastRenderedPageBreak/>
              <w:t xml:space="preserve">left the program (and most have entered the field). </w:t>
            </w:r>
            <w:r w:rsidR="009530A7">
              <w:rPr>
                <w:rFonts w:ascii="Times New Roman" w:eastAsia="Calibri" w:hAnsi="Times New Roman" w:cs="Times New Roman"/>
              </w:rPr>
              <w:t xml:space="preserve">Thus, INSPIRE data has been removed from Standard </w:t>
            </w:r>
            <w:r w:rsidR="001417D6">
              <w:rPr>
                <w:rFonts w:ascii="Times New Roman" w:eastAsia="Calibri" w:hAnsi="Times New Roman" w:cs="Times New Roman"/>
              </w:rPr>
              <w:t>1 and</w:t>
            </w:r>
            <w:r w:rsidR="009530A7">
              <w:rPr>
                <w:rFonts w:ascii="Times New Roman" w:eastAsia="Calibri" w:hAnsi="Times New Roman" w:cs="Times New Roman"/>
              </w:rPr>
              <w:t xml:space="preserve"> to illustrate the way these data are being used to provide evidence for the standards.</w:t>
            </w:r>
          </w:p>
        </w:tc>
      </w:tr>
      <w:tr w:rsidR="004A1E85" w:rsidRPr="009D1AD3" w14:paraId="5804E30A" w14:textId="77777777" w:rsidTr="009D1AD3">
        <w:tc>
          <w:tcPr>
            <w:tcW w:w="5760" w:type="dxa"/>
          </w:tcPr>
          <w:p w14:paraId="337BA841" w14:textId="24A16635"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lastRenderedPageBreak/>
              <w:br/>
              <w:t xml:space="preserve">As it stands, there is a lot of repeated data, and not much commentary or analysis. How does the program faculty interpret these results? What about the comment regarding the lack of special education law course? Is that something to take seriously? </w:t>
            </w:r>
            <w:r w:rsidRPr="009D1AD3">
              <w:rPr>
                <w:rFonts w:ascii="Times New Roman" w:eastAsia="Calibri" w:hAnsi="Times New Roman" w:cs="Times New Roman"/>
              </w:rPr>
              <w:br/>
            </w:r>
            <w:r w:rsidRPr="009D1AD3">
              <w:rPr>
                <w:rFonts w:ascii="Times New Roman" w:eastAsia="Calibri" w:hAnsi="Times New Roman" w:cs="Times New Roman"/>
              </w:rPr>
              <w:br/>
              <w:t>And what about the various (some of them very practical – like facilities matters) aspects of internships that were not completed by many of the candidates? Did that matter? Does it match up with what they are reportedly a little less than ready to take on? The progress is clearly noteworthy, but the data still raises some questions.</w:t>
            </w:r>
            <w:r w:rsidRPr="009D1AD3">
              <w:rPr>
                <w:rFonts w:ascii="Times New Roman" w:eastAsia="Calibri" w:hAnsi="Times New Roman" w:cs="Times New Roman"/>
              </w:rPr>
              <w:br/>
            </w:r>
          </w:p>
        </w:tc>
        <w:tc>
          <w:tcPr>
            <w:tcW w:w="5035" w:type="dxa"/>
          </w:tcPr>
          <w:p w14:paraId="29F285D4" w14:textId="2195EB86" w:rsidR="004A1E85" w:rsidRPr="009D1AD3" w:rsidRDefault="008B3689" w:rsidP="004A1E85">
            <w:pPr>
              <w:rPr>
                <w:rFonts w:ascii="Times New Roman" w:eastAsia="Calibri" w:hAnsi="Times New Roman" w:cs="Times New Roman"/>
              </w:rPr>
            </w:pPr>
            <w:r>
              <w:rPr>
                <w:rFonts w:ascii="Times New Roman" w:eastAsia="Calibri" w:hAnsi="Times New Roman" w:cs="Times New Roman"/>
              </w:rPr>
              <w:t>For each area under each standard, additional data interpretation sections were added to clarify how faculty interpret the data.</w:t>
            </w:r>
          </w:p>
        </w:tc>
      </w:tr>
      <w:tr w:rsidR="004A1E85" w:rsidRPr="009D1AD3" w14:paraId="2B307035" w14:textId="77777777" w:rsidTr="009D1AD3">
        <w:tc>
          <w:tcPr>
            <w:tcW w:w="5760" w:type="dxa"/>
          </w:tcPr>
          <w:p w14:paraId="4E86EC58" w14:textId="5EDABAD2"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t>Standard 3, admissions interview. Looks like great stuff; how are interviewers calibrated?</w:t>
            </w:r>
            <w:r w:rsidRPr="009D1AD3">
              <w:rPr>
                <w:rFonts w:ascii="Times New Roman" w:eastAsia="Calibri" w:hAnsi="Times New Roman" w:cs="Times New Roman"/>
              </w:rPr>
              <w:br/>
            </w:r>
          </w:p>
        </w:tc>
        <w:tc>
          <w:tcPr>
            <w:tcW w:w="5035" w:type="dxa"/>
          </w:tcPr>
          <w:p w14:paraId="2925D385" w14:textId="5CFE2A3E" w:rsidR="004A1E85" w:rsidRPr="009D1AD3" w:rsidRDefault="007D4569" w:rsidP="004A1E85">
            <w:pPr>
              <w:rPr>
                <w:rFonts w:ascii="Times New Roman" w:eastAsia="Calibri" w:hAnsi="Times New Roman" w:cs="Times New Roman"/>
              </w:rPr>
            </w:pPr>
            <w:r>
              <w:rPr>
                <w:rFonts w:ascii="Times New Roman" w:eastAsia="Calibri" w:hAnsi="Times New Roman" w:cs="Times New Roman"/>
              </w:rPr>
              <w:t>Additional information was added about interview calibration.  See p. 39</w:t>
            </w:r>
          </w:p>
        </w:tc>
      </w:tr>
      <w:tr w:rsidR="004A1E85" w:rsidRPr="009D1AD3" w14:paraId="311B0A4C" w14:textId="77777777" w:rsidTr="009D1AD3">
        <w:tc>
          <w:tcPr>
            <w:tcW w:w="5760" w:type="dxa"/>
          </w:tcPr>
          <w:p w14:paraId="7C4D6164" w14:textId="083DF3A4"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t>Standard 4 could benefit from a little more explication on the part of the faculty. Are candidates getting experience working on disparity reduction? Does the program partner in any particular ways with specific districts to address issues?</w:t>
            </w:r>
            <w:r w:rsidRPr="009D1AD3">
              <w:rPr>
                <w:rFonts w:ascii="Times New Roman" w:eastAsia="Calibri" w:hAnsi="Times New Roman" w:cs="Times New Roman"/>
              </w:rPr>
              <w:br/>
            </w:r>
          </w:p>
        </w:tc>
        <w:tc>
          <w:tcPr>
            <w:tcW w:w="5035" w:type="dxa"/>
          </w:tcPr>
          <w:p w14:paraId="3F9E25C0" w14:textId="7254049A" w:rsidR="004A1E85" w:rsidRPr="009D1AD3" w:rsidRDefault="00673A61" w:rsidP="004A1E85">
            <w:pPr>
              <w:rPr>
                <w:rFonts w:ascii="Times New Roman" w:eastAsia="Calibri" w:hAnsi="Times New Roman" w:cs="Times New Roman"/>
              </w:rPr>
            </w:pPr>
            <w:r>
              <w:rPr>
                <w:rFonts w:ascii="Times New Roman" w:eastAsia="Calibri" w:hAnsi="Times New Roman" w:cs="Times New Roman"/>
              </w:rPr>
              <w:t xml:space="preserve">Please see p. 44 for extended discussion of Standard 4 results. </w:t>
            </w:r>
          </w:p>
        </w:tc>
      </w:tr>
      <w:tr w:rsidR="004A1E85" w:rsidRPr="009D1AD3" w14:paraId="1C153598" w14:textId="77777777" w:rsidTr="009D1AD3">
        <w:tc>
          <w:tcPr>
            <w:tcW w:w="5760" w:type="dxa"/>
          </w:tcPr>
          <w:p w14:paraId="7566CD63" w14:textId="4BB89CE4"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t>Appendix A: Great on recruitment and admissions; is anything done to ensure inter-rater reliability in the admissions interviews? Nothing here about monitoring and persistence; is the admissions process effective? What is retention in program like, and if anyone is leaving, why?</w:t>
            </w:r>
            <w:r w:rsidRPr="009D1AD3">
              <w:rPr>
                <w:rFonts w:ascii="Times New Roman" w:eastAsia="Calibri" w:hAnsi="Times New Roman" w:cs="Times New Roman"/>
              </w:rPr>
              <w:br/>
            </w:r>
          </w:p>
        </w:tc>
        <w:tc>
          <w:tcPr>
            <w:tcW w:w="5035" w:type="dxa"/>
          </w:tcPr>
          <w:p w14:paraId="03E24F9F" w14:textId="39E40885" w:rsidR="004A1E85" w:rsidRPr="009D1AD3" w:rsidRDefault="00673A61" w:rsidP="004A1E85">
            <w:pPr>
              <w:rPr>
                <w:rFonts w:ascii="Times New Roman" w:eastAsia="Calibri" w:hAnsi="Times New Roman" w:cs="Times New Roman"/>
              </w:rPr>
            </w:pPr>
            <w:r>
              <w:rPr>
                <w:rFonts w:ascii="Times New Roman" w:eastAsia="Calibri" w:hAnsi="Times New Roman" w:cs="Times New Roman"/>
              </w:rPr>
              <w:t>We have added some additional information about the number of students who have withdrawn (see p. 48)</w:t>
            </w:r>
          </w:p>
        </w:tc>
      </w:tr>
      <w:tr w:rsidR="004A1E85" w:rsidRPr="009D1AD3" w14:paraId="07E29A4C" w14:textId="77777777" w:rsidTr="009D1AD3">
        <w:tc>
          <w:tcPr>
            <w:tcW w:w="5760" w:type="dxa"/>
          </w:tcPr>
          <w:p w14:paraId="74B5CFD9" w14:textId="0467A728"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t>Appendix G hits some main points.  Are you confident that the allocation of hours on the internship experience form is pretty accurate? How were the participants in the focus groups selected, and how were the questions developed? Was there one group or more than one?</w:t>
            </w:r>
            <w:r w:rsidRPr="009D1AD3">
              <w:rPr>
                <w:rFonts w:ascii="Times New Roman" w:eastAsia="Calibri" w:hAnsi="Times New Roman" w:cs="Times New Roman"/>
              </w:rPr>
              <w:br/>
            </w:r>
          </w:p>
        </w:tc>
        <w:tc>
          <w:tcPr>
            <w:tcW w:w="5035" w:type="dxa"/>
          </w:tcPr>
          <w:p w14:paraId="2D46F377" w14:textId="14EDE88A" w:rsidR="004A1E85" w:rsidRDefault="00673A61" w:rsidP="004A1E85">
            <w:pPr>
              <w:rPr>
                <w:rFonts w:ascii="Times New Roman" w:eastAsia="Calibri" w:hAnsi="Times New Roman" w:cs="Times New Roman"/>
              </w:rPr>
            </w:pPr>
            <w:r>
              <w:rPr>
                <w:rFonts w:ascii="Times New Roman" w:eastAsia="Calibri" w:hAnsi="Times New Roman" w:cs="Times New Roman"/>
              </w:rPr>
              <w:t xml:space="preserve">Yes, are confident, in part because the final internship </w:t>
            </w:r>
            <w:r w:rsidR="00D64951">
              <w:rPr>
                <w:rFonts w:ascii="Times New Roman" w:eastAsia="Calibri" w:hAnsi="Times New Roman" w:cs="Times New Roman"/>
              </w:rPr>
              <w:t xml:space="preserve">form completed </w:t>
            </w:r>
            <w:r>
              <w:rPr>
                <w:rFonts w:ascii="Times New Roman" w:eastAsia="Calibri" w:hAnsi="Times New Roman" w:cs="Times New Roman"/>
              </w:rPr>
              <w:t>by supervisors</w:t>
            </w:r>
            <w:r w:rsidR="00D64951">
              <w:rPr>
                <w:rFonts w:ascii="Times New Roman" w:eastAsia="Calibri" w:hAnsi="Times New Roman" w:cs="Times New Roman"/>
              </w:rPr>
              <w:t xml:space="preserve"> and mentors  see p.11 for  a description and p.23-24 for data</w:t>
            </w:r>
            <w:r>
              <w:rPr>
                <w:rFonts w:ascii="Times New Roman" w:eastAsia="Calibri" w:hAnsi="Times New Roman" w:cs="Times New Roman"/>
              </w:rPr>
              <w:t>.</w:t>
            </w:r>
          </w:p>
          <w:p w14:paraId="18C82EEE" w14:textId="52BD2B04" w:rsidR="00673A61" w:rsidRDefault="00673A61" w:rsidP="004A1E85">
            <w:pPr>
              <w:rPr>
                <w:rFonts w:ascii="Times New Roman" w:eastAsia="Calibri" w:hAnsi="Times New Roman" w:cs="Times New Roman"/>
              </w:rPr>
            </w:pPr>
          </w:p>
          <w:p w14:paraId="3E280807" w14:textId="5921A59A" w:rsidR="00673A61" w:rsidRDefault="00673A61" w:rsidP="004A1E85">
            <w:pPr>
              <w:rPr>
                <w:rFonts w:ascii="Times New Roman" w:eastAsia="Calibri" w:hAnsi="Times New Roman" w:cs="Times New Roman"/>
              </w:rPr>
            </w:pPr>
            <w:r>
              <w:rPr>
                <w:rFonts w:ascii="Times New Roman" w:eastAsia="Calibri" w:hAnsi="Times New Roman" w:cs="Times New Roman"/>
              </w:rPr>
              <w:t>More information on the focus group is presented on p. 67.</w:t>
            </w:r>
          </w:p>
          <w:p w14:paraId="3A235210" w14:textId="77777777" w:rsidR="00673A61" w:rsidRDefault="00673A61" w:rsidP="004A1E85">
            <w:pPr>
              <w:rPr>
                <w:rFonts w:ascii="Times New Roman" w:eastAsia="Calibri" w:hAnsi="Times New Roman" w:cs="Times New Roman"/>
              </w:rPr>
            </w:pPr>
          </w:p>
          <w:p w14:paraId="7DF3AA8B" w14:textId="15F6DA59" w:rsidR="00673A61" w:rsidRPr="009D1AD3" w:rsidRDefault="00673A61" w:rsidP="004A1E85">
            <w:pPr>
              <w:rPr>
                <w:rFonts w:ascii="Times New Roman" w:eastAsia="Calibri" w:hAnsi="Times New Roman" w:cs="Times New Roman"/>
              </w:rPr>
            </w:pPr>
          </w:p>
        </w:tc>
      </w:tr>
      <w:tr w:rsidR="004A1E85" w:rsidRPr="009D1AD3" w14:paraId="297478B9" w14:textId="77777777" w:rsidTr="009D1AD3">
        <w:tc>
          <w:tcPr>
            <w:tcW w:w="5760" w:type="dxa"/>
          </w:tcPr>
          <w:p w14:paraId="1B461C92" w14:textId="17845238" w:rsidR="004A1E85" w:rsidRPr="009D1AD3" w:rsidRDefault="004A1E85" w:rsidP="004A1E85">
            <w:pPr>
              <w:rPr>
                <w:rFonts w:ascii="Times New Roman" w:eastAsia="Calibri" w:hAnsi="Times New Roman" w:cs="Times New Roman"/>
              </w:rPr>
            </w:pPr>
            <w:r w:rsidRPr="009D1AD3">
              <w:rPr>
                <w:rFonts w:ascii="Times New Roman" w:eastAsia="Calibri" w:hAnsi="Times New Roman" w:cs="Times New Roman"/>
              </w:rPr>
              <w:lastRenderedPageBreak/>
              <w:t xml:space="preserve">There are separate notes on standards 1 and 2 below, but here is a question that bridges them. Are candidates evaluated in their field placements with any kind of rating form or rubric?  The detail on what specific things they experience in their internships is very helpful, but the question remains how well they performed in it. </w:t>
            </w:r>
            <w:r w:rsidRPr="009D1AD3">
              <w:rPr>
                <w:rFonts w:ascii="Times New Roman" w:eastAsia="Calibri" w:hAnsi="Times New Roman" w:cs="Times New Roman"/>
              </w:rPr>
              <w:br/>
            </w:r>
          </w:p>
        </w:tc>
        <w:tc>
          <w:tcPr>
            <w:tcW w:w="5035" w:type="dxa"/>
          </w:tcPr>
          <w:p w14:paraId="18F9721A" w14:textId="28C932AB" w:rsidR="00D64951" w:rsidRDefault="00D64951" w:rsidP="00D64951">
            <w:pPr>
              <w:rPr>
                <w:rFonts w:ascii="Times New Roman" w:eastAsia="Calibri" w:hAnsi="Times New Roman" w:cs="Times New Roman"/>
              </w:rPr>
            </w:pPr>
            <w:r>
              <w:rPr>
                <w:rFonts w:ascii="Times New Roman" w:eastAsia="Calibri" w:hAnsi="Times New Roman" w:cs="Times New Roman"/>
              </w:rPr>
              <w:t>Please see the final internship form completed by supervisors and mentors  see p.11 for  a description and p.23-24 for data.</w:t>
            </w:r>
          </w:p>
          <w:p w14:paraId="6BC2C109" w14:textId="77777777" w:rsidR="004A1E85" w:rsidRPr="009D1AD3" w:rsidRDefault="004A1E85" w:rsidP="004A1E85">
            <w:pPr>
              <w:rPr>
                <w:rFonts w:ascii="Times New Roman" w:eastAsia="Calibri" w:hAnsi="Times New Roman" w:cs="Times New Roman"/>
              </w:rPr>
            </w:pPr>
          </w:p>
        </w:tc>
      </w:tr>
    </w:tbl>
    <w:p w14:paraId="3A86DF31" w14:textId="77777777" w:rsidR="00CF784A" w:rsidRPr="009D1AD3" w:rsidRDefault="00CF784A" w:rsidP="00CF784A">
      <w:pPr>
        <w:ind w:left="720"/>
        <w:rPr>
          <w:rFonts w:ascii="Times New Roman" w:eastAsia="Calibri" w:hAnsi="Times New Roman" w:cs="Times New Roman"/>
          <w:sz w:val="24"/>
          <w:szCs w:val="24"/>
        </w:rPr>
      </w:pPr>
    </w:p>
    <w:p w14:paraId="7D32E94F" w14:textId="77777777" w:rsidR="00B84646" w:rsidRPr="009D1AD3" w:rsidRDefault="00B84646" w:rsidP="00CF784A">
      <w:pPr>
        <w:ind w:left="720"/>
        <w:rPr>
          <w:rFonts w:ascii="Times New Roman" w:eastAsia="Calibri" w:hAnsi="Times New Roman" w:cs="Times New Roman"/>
          <w:sz w:val="24"/>
          <w:szCs w:val="24"/>
        </w:rPr>
      </w:pPr>
    </w:p>
    <w:p w14:paraId="5AE63676" w14:textId="77777777" w:rsidR="00B84646" w:rsidRPr="009D1AD3" w:rsidRDefault="00B84646" w:rsidP="00CF784A">
      <w:pPr>
        <w:ind w:left="720"/>
        <w:rPr>
          <w:rFonts w:ascii="Times New Roman" w:eastAsia="Calibri" w:hAnsi="Times New Roman" w:cs="Times New Roman"/>
          <w:sz w:val="24"/>
          <w:szCs w:val="24"/>
        </w:rPr>
      </w:pPr>
    </w:p>
    <w:p w14:paraId="35B05ADD" w14:textId="4D32694E" w:rsidR="00CD2F50" w:rsidRPr="009D1AD3" w:rsidRDefault="002D5634" w:rsidP="00B84646">
      <w:pPr>
        <w:rPr>
          <w:rFonts w:ascii="Times New Roman" w:eastAsia="Calibri" w:hAnsi="Times New Roman" w:cs="Times New Roman"/>
          <w:sz w:val="24"/>
          <w:szCs w:val="24"/>
        </w:rPr>
      </w:pPr>
      <w:r w:rsidRPr="009D1AD3">
        <w:rPr>
          <w:rFonts w:ascii="Times New Roman" w:eastAsia="Calibri" w:hAnsi="Times New Roman" w:cs="Times New Roman"/>
          <w:sz w:val="24"/>
          <w:szCs w:val="24"/>
        </w:rPr>
        <w:br w:type="page"/>
      </w:r>
    </w:p>
    <w:p w14:paraId="7CFC6F3F" w14:textId="0413ED4A" w:rsidR="00CE404E" w:rsidRPr="009D1AD3" w:rsidRDefault="00CE404E" w:rsidP="00E248C6">
      <w:pPr>
        <w:spacing w:before="120" w:line="240" w:lineRule="auto"/>
        <w:rPr>
          <w:rFonts w:ascii="Times New Roman" w:eastAsia="Calibri" w:hAnsi="Times New Roman" w:cs="Times New Roman"/>
          <w:sz w:val="24"/>
          <w:szCs w:val="24"/>
        </w:rPr>
      </w:pPr>
      <w:r w:rsidRPr="009D1AD3">
        <w:rPr>
          <w:rFonts w:ascii="Times New Roman" w:eastAsia="Calibri" w:hAnsi="Times New Roman" w:cs="Times New Roman"/>
          <w:b/>
          <w:sz w:val="24"/>
          <w:szCs w:val="24"/>
          <w:u w:val="single"/>
        </w:rPr>
        <w:lastRenderedPageBreak/>
        <w:t>Standard</w:t>
      </w:r>
      <w:r w:rsidR="00B84646" w:rsidRPr="009D1AD3">
        <w:rPr>
          <w:rFonts w:ascii="Times New Roman" w:eastAsia="Calibri" w:hAnsi="Times New Roman" w:cs="Times New Roman"/>
          <w:b/>
          <w:sz w:val="24"/>
          <w:szCs w:val="24"/>
          <w:u w:val="single"/>
        </w:rPr>
        <w:t xml:space="preserve"> 1: Completer Performanc</w:t>
      </w:r>
      <w:r w:rsidRPr="009D1AD3">
        <w:rPr>
          <w:rFonts w:ascii="Times New Roman" w:eastAsia="Calibri" w:hAnsi="Times New Roman" w:cs="Times New Roman"/>
          <w:b/>
          <w:sz w:val="24"/>
          <w:szCs w:val="24"/>
          <w:u w:val="single"/>
        </w:rPr>
        <w:t>e</w:t>
      </w:r>
    </w:p>
    <w:p w14:paraId="7B44B0D4" w14:textId="77777777" w:rsidR="00CE404E" w:rsidRPr="009D1AD3" w:rsidRDefault="00CE404E" w:rsidP="00E248C6">
      <w:pPr>
        <w:spacing w:before="80" w:line="240" w:lineRule="auto"/>
        <w:rPr>
          <w:rFonts w:ascii="Times New Roman" w:eastAsia="Calibri" w:hAnsi="Times New Roman" w:cs="Times New Roman"/>
          <w:i/>
          <w:color w:val="4A86E8"/>
          <w:sz w:val="24"/>
          <w:szCs w:val="24"/>
        </w:rPr>
      </w:pPr>
      <w:r w:rsidRPr="009D1AD3">
        <w:rPr>
          <w:rFonts w:ascii="Times New Roman" w:eastAsia="Calibri" w:hAnsi="Times New Roman" w:cs="Times New Roman"/>
          <w:i/>
          <w:sz w:val="24"/>
          <w:szCs w:val="24"/>
        </w:rPr>
        <w:t>Completers perform as professional educators</w:t>
      </w:r>
      <w:r w:rsidRPr="009D1AD3">
        <w:rPr>
          <w:rFonts w:ascii="Times New Roman" w:eastAsia="Calibri" w:hAnsi="Times New Roman" w:cs="Times New Roman"/>
          <w:i/>
          <w:color w:val="4A86E8"/>
          <w:sz w:val="24"/>
          <w:szCs w:val="24"/>
        </w:rPr>
        <w:t xml:space="preserve"> </w:t>
      </w:r>
      <w:r w:rsidRPr="009D1AD3">
        <w:rPr>
          <w:rFonts w:ascii="Times New Roman" w:eastAsia="Calibri" w:hAnsi="Times New Roman" w:cs="Times New Roman"/>
          <w:i/>
          <w:sz w:val="24"/>
          <w:szCs w:val="24"/>
        </w:rPr>
        <w:t>with the capacity to support success for all learners.</w:t>
      </w:r>
    </w:p>
    <w:p w14:paraId="1540B96B" w14:textId="2CF8ECFC" w:rsidR="00CE404E" w:rsidRPr="009D1AD3" w:rsidRDefault="00CE404E" w:rsidP="00E248C6">
      <w:pPr>
        <w:spacing w:before="80" w:line="240" w:lineRule="auto"/>
        <w:rPr>
          <w:rFonts w:ascii="Times New Roman" w:eastAsia="Calibri" w:hAnsi="Times New Roman" w:cs="Times New Roman"/>
          <w:sz w:val="24"/>
          <w:szCs w:val="24"/>
        </w:rPr>
      </w:pPr>
      <w:r w:rsidRPr="009D1AD3">
        <w:rPr>
          <w:rFonts w:ascii="Times New Roman" w:eastAsia="Calibri" w:hAnsi="Times New Roman" w:cs="Times New Roman"/>
          <w:sz w:val="24"/>
          <w:szCs w:val="24"/>
        </w:rPr>
        <w:t>Candidates and completers exhibit the knowledge, skills, and professional dispositions of competent, caring, and effective professional educators.  Successful candidate performance requires knowledge of learners, context, and content. Candidates demonstrate the ability to plan for and enact and/or support instruction and assessment that is differentiated and culturally responsive.  Evidence shows that, by the time of program completion, candidates exhibit knowledge, skills, and abilities of professional educators appropriate to th</w:t>
      </w:r>
      <w:r w:rsidR="00D4283C" w:rsidRPr="009D1AD3">
        <w:rPr>
          <w:rFonts w:ascii="Times New Roman" w:eastAsia="Calibri" w:hAnsi="Times New Roman" w:cs="Times New Roman"/>
          <w:sz w:val="24"/>
          <w:szCs w:val="24"/>
        </w:rPr>
        <w:t>eir target credential or degree.</w:t>
      </w:r>
    </w:p>
    <w:p w14:paraId="64A85005" w14:textId="56369134" w:rsidR="00D4283C" w:rsidRPr="009D1AD3" w:rsidRDefault="00D4283C" w:rsidP="00E248C6">
      <w:pPr>
        <w:spacing w:before="80" w:line="240" w:lineRule="auto"/>
        <w:rPr>
          <w:rFonts w:ascii="Times New Roman" w:eastAsia="Calibri" w:hAnsi="Times New Roman" w:cs="Times New Roman"/>
          <w:i/>
          <w:sz w:val="24"/>
          <w:szCs w:val="24"/>
        </w:rPr>
      </w:pPr>
      <w:r w:rsidRPr="009D1AD3">
        <w:rPr>
          <w:rFonts w:ascii="Times New Roman" w:eastAsia="Calibri" w:hAnsi="Times New Roman" w:cs="Times New Roman"/>
          <w:i/>
          <w:sz w:val="24"/>
          <w:szCs w:val="24"/>
        </w:rPr>
        <w:t>All six aspects of this standard, included in the table below, must be addressed in the evidence set for the standard.</w:t>
      </w:r>
    </w:p>
    <w:p w14:paraId="747F493C" w14:textId="18AACC25" w:rsidR="00CE404E" w:rsidRPr="009D1AD3" w:rsidRDefault="00FD6359" w:rsidP="0061131C">
      <w:pPr>
        <w:spacing w:before="80" w:line="240" w:lineRule="auto"/>
        <w:rPr>
          <w:rFonts w:ascii="Times New Roman" w:eastAsia="Calibri" w:hAnsi="Times New Roman" w:cs="Times New Roman"/>
          <w:sz w:val="24"/>
          <w:szCs w:val="24"/>
        </w:rPr>
      </w:pPr>
      <w:r w:rsidRPr="009D1AD3">
        <w:rPr>
          <w:rFonts w:ascii="Times New Roman" w:eastAsia="Calibri" w:hAnsi="Times New Roman" w:cs="Times New Roman"/>
          <w:sz w:val="24"/>
          <w:szCs w:val="24"/>
        </w:rPr>
        <w:t>Evidence</w:t>
      </w:r>
      <w:r w:rsidR="00CE404E" w:rsidRPr="009D1AD3">
        <w:rPr>
          <w:rFonts w:ascii="Times New Roman" w:eastAsia="Calibri" w:hAnsi="Times New Roman" w:cs="Times New Roman"/>
          <w:sz w:val="24"/>
          <w:szCs w:val="24"/>
        </w:rPr>
        <w:t xml:space="preserve"> </w:t>
      </w:r>
      <w:r w:rsidR="00E06804" w:rsidRPr="009D1AD3">
        <w:rPr>
          <w:rFonts w:ascii="Times New Roman" w:eastAsia="Calibri" w:hAnsi="Times New Roman" w:cs="Times New Roman"/>
          <w:sz w:val="24"/>
          <w:szCs w:val="24"/>
        </w:rPr>
        <w:t>must</w:t>
      </w:r>
      <w:r w:rsidR="00CE404E" w:rsidRPr="009D1AD3">
        <w:rPr>
          <w:rFonts w:ascii="Times New Roman" w:eastAsia="Calibri" w:hAnsi="Times New Roman" w:cs="Times New Roman"/>
          <w:sz w:val="24"/>
          <w:szCs w:val="24"/>
        </w:rPr>
        <w:t xml:space="preserve"> include multiple measures,</w:t>
      </w:r>
      <w:r w:rsidRPr="009D1AD3">
        <w:rPr>
          <w:rFonts w:ascii="Times New Roman" w:eastAsia="Calibri" w:hAnsi="Times New Roman" w:cs="Times New Roman"/>
          <w:sz w:val="24"/>
          <w:szCs w:val="24"/>
        </w:rPr>
        <w:t xml:space="preserve"> multiple perspectives (</w:t>
      </w:r>
      <w:r w:rsidR="00CE404E" w:rsidRPr="009D1AD3">
        <w:rPr>
          <w:rFonts w:ascii="Times New Roman" w:eastAsia="Calibri" w:hAnsi="Times New Roman" w:cs="Times New Roman"/>
          <w:sz w:val="24"/>
          <w:szCs w:val="24"/>
        </w:rPr>
        <w:t>program faculty, P12 partners, program completers, graduates’ employers), dire</w:t>
      </w:r>
      <w:r w:rsidRPr="009D1AD3">
        <w:rPr>
          <w:rFonts w:ascii="Times New Roman" w:eastAsia="Calibri" w:hAnsi="Times New Roman" w:cs="Times New Roman"/>
          <w:sz w:val="24"/>
          <w:szCs w:val="24"/>
        </w:rPr>
        <w:t xml:space="preserve">ct measures </w:t>
      </w:r>
      <w:r w:rsidR="00E06804" w:rsidRPr="009D1AD3">
        <w:rPr>
          <w:rFonts w:ascii="Times New Roman" w:eastAsia="Calibri" w:hAnsi="Times New Roman" w:cs="Times New Roman"/>
          <w:sz w:val="24"/>
          <w:szCs w:val="24"/>
        </w:rPr>
        <w:t>of performance in program- appropriate field/clinical setting.</w:t>
      </w:r>
    </w:p>
    <w:p w14:paraId="3822490B" w14:textId="77777777" w:rsidR="00B84646" w:rsidRPr="009D1AD3" w:rsidRDefault="00B84646">
      <w:pPr>
        <w:rPr>
          <w:rFonts w:ascii="Times New Roman" w:eastAsia="Calibri" w:hAnsi="Times New Roman" w:cs="Times New Roman"/>
          <w:sz w:val="24"/>
          <w:szCs w:val="24"/>
        </w:rPr>
      </w:pPr>
    </w:p>
    <w:p w14:paraId="30432ADE" w14:textId="25B85B7D" w:rsidR="00B84646" w:rsidRPr="009D1AD3" w:rsidRDefault="00B84646">
      <w:pPr>
        <w:rPr>
          <w:rFonts w:ascii="Times New Roman" w:eastAsia="Calibri" w:hAnsi="Times New Roman" w:cs="Times New Roman"/>
          <w:sz w:val="24"/>
          <w:szCs w:val="24"/>
        </w:rPr>
      </w:pPr>
      <w:r w:rsidRPr="009D1AD3">
        <w:rPr>
          <w:rFonts w:ascii="Times New Roman" w:eastAsia="Calibri" w:hAnsi="Times New Roman" w:cs="Times New Roman"/>
          <w:b/>
          <w:sz w:val="24"/>
          <w:szCs w:val="24"/>
        </w:rPr>
        <w:t>Does the evidence address each aspect of the standard?</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5"/>
        <w:gridCol w:w="2880"/>
        <w:gridCol w:w="2505"/>
      </w:tblGrid>
      <w:tr w:rsidR="004B48BA" w:rsidRPr="009D1AD3" w14:paraId="00B65702" w14:textId="77777777" w:rsidTr="004B48BA">
        <w:tc>
          <w:tcPr>
            <w:tcW w:w="5385" w:type="dxa"/>
            <w:tcBorders>
              <w:bottom w:val="single" w:sz="12" w:space="0" w:color="auto"/>
            </w:tcBorders>
            <w:vAlign w:val="bottom"/>
          </w:tcPr>
          <w:p w14:paraId="571D9263" w14:textId="6E5B6A6B" w:rsidR="00B84646" w:rsidRPr="009D1AD3" w:rsidRDefault="00B84646" w:rsidP="007721C8">
            <w:pPr>
              <w:rPr>
                <w:rFonts w:ascii="Times New Roman" w:hAnsi="Times New Roman" w:cs="Times New Roman"/>
              </w:rPr>
            </w:pPr>
            <w:r w:rsidRPr="009D1AD3">
              <w:rPr>
                <w:rFonts w:ascii="Times New Roman" w:eastAsia="Times New Roman" w:hAnsi="Times New Roman" w:cs="Times New Roman"/>
                <w:b/>
                <w:bCs/>
              </w:rPr>
              <w:t xml:space="preserve">Aspects of Standard 1 </w:t>
            </w:r>
          </w:p>
        </w:tc>
        <w:tc>
          <w:tcPr>
            <w:tcW w:w="2880" w:type="dxa"/>
          </w:tcPr>
          <w:p w14:paraId="2485CEC9" w14:textId="030873E0" w:rsidR="00B84646" w:rsidRPr="009D1AD3" w:rsidRDefault="004B48BA" w:rsidP="007721C8">
            <w:pPr>
              <w:rPr>
                <w:rFonts w:ascii="Times New Roman" w:hAnsi="Times New Roman" w:cs="Times New Roman"/>
              </w:rPr>
            </w:pPr>
            <w:r w:rsidRPr="009D1AD3">
              <w:rPr>
                <w:rFonts w:ascii="Times New Roman" w:hAnsi="Times New Roman" w:cs="Times New Roman"/>
              </w:rPr>
              <w:t>Evidence of quality or capacity</w:t>
            </w:r>
            <w:r w:rsidR="00B84646" w:rsidRPr="009D1AD3">
              <w:rPr>
                <w:rFonts w:ascii="Times New Roman" w:hAnsi="Times New Roman" w:cs="Times New Roman"/>
              </w:rPr>
              <w:t xml:space="preserve"> </w:t>
            </w:r>
          </w:p>
        </w:tc>
        <w:tc>
          <w:tcPr>
            <w:tcW w:w="2505" w:type="dxa"/>
          </w:tcPr>
          <w:p w14:paraId="3C5AC14C" w14:textId="40E50C81" w:rsidR="00B84646" w:rsidRPr="009D1AD3" w:rsidRDefault="00D114DC" w:rsidP="007721C8">
            <w:pPr>
              <w:rPr>
                <w:rFonts w:ascii="Times New Roman" w:hAnsi="Times New Roman" w:cs="Times New Roman"/>
              </w:rPr>
            </w:pPr>
            <w:r w:rsidRPr="009D1AD3">
              <w:rPr>
                <w:rFonts w:ascii="Times New Roman" w:hAnsi="Times New Roman" w:cs="Times New Roman"/>
              </w:rPr>
              <w:t>Negative evidence/</w:t>
            </w:r>
            <w:r w:rsidR="004B48BA" w:rsidRPr="009D1AD3">
              <w:rPr>
                <w:rFonts w:ascii="Times New Roman" w:hAnsi="Times New Roman" w:cs="Times New Roman"/>
              </w:rPr>
              <w:t>gap</w:t>
            </w:r>
            <w:r w:rsidRPr="009D1AD3">
              <w:rPr>
                <w:rFonts w:ascii="Times New Roman" w:hAnsi="Times New Roman" w:cs="Times New Roman"/>
              </w:rPr>
              <w:t>/?</w:t>
            </w:r>
          </w:p>
        </w:tc>
      </w:tr>
      <w:tr w:rsidR="00D4283C" w:rsidRPr="009D1AD3" w14:paraId="344F44A4" w14:textId="77777777" w:rsidTr="00996936">
        <w:trPr>
          <w:trHeight w:val="834"/>
        </w:trPr>
        <w:tc>
          <w:tcPr>
            <w:tcW w:w="5385" w:type="dxa"/>
            <w:vAlign w:val="bottom"/>
          </w:tcPr>
          <w:p w14:paraId="76D1C7D6" w14:textId="77777777" w:rsidR="00D4283C" w:rsidRPr="009D1AD3" w:rsidRDefault="00D4283C" w:rsidP="007721C8">
            <w:pPr>
              <w:rPr>
                <w:rFonts w:ascii="Times New Roman" w:hAnsi="Times New Roman" w:cs="Times New Roman"/>
              </w:rPr>
            </w:pPr>
            <w:r w:rsidRPr="009D1AD3">
              <w:rPr>
                <w:rFonts w:ascii="Times New Roman" w:eastAsia="Times New Roman" w:hAnsi="Times New Roman" w:cs="Times New Roman"/>
              </w:rPr>
              <w:t>Content knowledge relevant to credential</w:t>
            </w:r>
          </w:p>
          <w:p w14:paraId="68EC5EF7" w14:textId="77777777" w:rsidR="00D4283C" w:rsidRPr="009D1AD3" w:rsidRDefault="00D4283C" w:rsidP="007721C8">
            <w:pPr>
              <w:rPr>
                <w:rFonts w:ascii="Times New Roman" w:hAnsi="Times New Roman" w:cs="Times New Roman"/>
              </w:rPr>
            </w:pPr>
            <w:r w:rsidRPr="009D1AD3">
              <w:rPr>
                <w:rFonts w:ascii="Times New Roman" w:eastAsia="Times New Roman" w:hAnsi="Times New Roman" w:cs="Times New Roman"/>
                <w:color w:val="000000"/>
              </w:rPr>
              <w:t>Pedagogical knowledge relevant to credential</w:t>
            </w:r>
          </w:p>
          <w:p w14:paraId="6E348565" w14:textId="4F041E3E" w:rsidR="00D4283C" w:rsidRPr="009D1AD3" w:rsidRDefault="00D4283C" w:rsidP="007721C8">
            <w:pPr>
              <w:rPr>
                <w:rFonts w:ascii="Times New Roman" w:hAnsi="Times New Roman" w:cs="Times New Roman"/>
              </w:rPr>
            </w:pPr>
            <w:r w:rsidRPr="009D1AD3">
              <w:rPr>
                <w:rFonts w:ascii="Times New Roman" w:eastAsia="Times New Roman" w:hAnsi="Times New Roman" w:cs="Times New Roman"/>
                <w:color w:val="000000"/>
              </w:rPr>
              <w:t>Professional knowledge relevant to credential</w:t>
            </w:r>
          </w:p>
        </w:tc>
        <w:tc>
          <w:tcPr>
            <w:tcW w:w="2880" w:type="dxa"/>
          </w:tcPr>
          <w:p w14:paraId="577BE414" w14:textId="77777777" w:rsidR="00D4283C" w:rsidRPr="009D1AD3" w:rsidRDefault="002D48FB" w:rsidP="007721C8">
            <w:pPr>
              <w:rPr>
                <w:rFonts w:ascii="Times New Roman" w:hAnsi="Times New Roman" w:cs="Times New Roman"/>
              </w:rPr>
            </w:pPr>
            <w:r w:rsidRPr="009D1AD3">
              <w:rPr>
                <w:rFonts w:ascii="Times New Roman" w:hAnsi="Times New Roman" w:cs="Times New Roman"/>
              </w:rPr>
              <w:t>Praxis</w:t>
            </w:r>
          </w:p>
          <w:p w14:paraId="300ED5CE" w14:textId="77777777" w:rsidR="002D48FB" w:rsidRPr="009D1AD3" w:rsidRDefault="002D48FB" w:rsidP="007721C8">
            <w:pPr>
              <w:rPr>
                <w:rFonts w:ascii="Times New Roman" w:hAnsi="Times New Roman" w:cs="Times New Roman"/>
              </w:rPr>
            </w:pPr>
            <w:r w:rsidRPr="009D1AD3">
              <w:rPr>
                <w:rFonts w:ascii="Times New Roman" w:hAnsi="Times New Roman" w:cs="Times New Roman"/>
              </w:rPr>
              <w:t>Quality of experiences</w:t>
            </w:r>
          </w:p>
          <w:p w14:paraId="6FEE7132" w14:textId="00B3B0B3" w:rsidR="002D48FB" w:rsidRPr="009D1AD3" w:rsidRDefault="002D48FB" w:rsidP="007721C8">
            <w:pPr>
              <w:rPr>
                <w:rFonts w:ascii="Times New Roman" w:hAnsi="Times New Roman" w:cs="Times New Roman"/>
              </w:rPr>
            </w:pPr>
            <w:r w:rsidRPr="009D1AD3">
              <w:rPr>
                <w:rFonts w:ascii="Times New Roman" w:hAnsi="Times New Roman" w:cs="Times New Roman"/>
              </w:rPr>
              <w:t>Alignment of curriculum</w:t>
            </w:r>
          </w:p>
        </w:tc>
        <w:tc>
          <w:tcPr>
            <w:tcW w:w="2505" w:type="dxa"/>
          </w:tcPr>
          <w:p w14:paraId="29797A22" w14:textId="77777777" w:rsidR="00D4283C" w:rsidRPr="009D1AD3" w:rsidRDefault="00D4283C" w:rsidP="007721C8">
            <w:pPr>
              <w:rPr>
                <w:rFonts w:ascii="Times New Roman" w:hAnsi="Times New Roman" w:cs="Times New Roman"/>
              </w:rPr>
            </w:pPr>
          </w:p>
        </w:tc>
      </w:tr>
      <w:tr w:rsidR="00D4283C" w:rsidRPr="009D1AD3" w14:paraId="36BCD2A0" w14:textId="77777777" w:rsidTr="00F81269">
        <w:trPr>
          <w:trHeight w:val="546"/>
        </w:trPr>
        <w:tc>
          <w:tcPr>
            <w:tcW w:w="5385" w:type="dxa"/>
            <w:vAlign w:val="bottom"/>
          </w:tcPr>
          <w:p w14:paraId="4DD23936" w14:textId="77777777" w:rsidR="00D4283C" w:rsidRPr="009D1AD3" w:rsidRDefault="00D4283C" w:rsidP="007721C8">
            <w:pPr>
              <w:rPr>
                <w:rFonts w:ascii="Times New Roman" w:eastAsia="Times New Roman" w:hAnsi="Times New Roman" w:cs="Times New Roman"/>
              </w:rPr>
            </w:pPr>
          </w:p>
          <w:p w14:paraId="0A97ED59" w14:textId="42659357" w:rsidR="00D4283C" w:rsidRPr="009D1AD3" w:rsidRDefault="00D4283C" w:rsidP="007721C8">
            <w:pPr>
              <w:rPr>
                <w:rFonts w:ascii="Times New Roman" w:hAnsi="Times New Roman" w:cs="Times New Roman"/>
              </w:rPr>
            </w:pPr>
            <w:r w:rsidRPr="009D1AD3">
              <w:rPr>
                <w:rFonts w:ascii="Times New Roman" w:eastAsia="Times New Roman" w:hAnsi="Times New Roman" w:cs="Times New Roman"/>
              </w:rPr>
              <w:t>Learners, learning theory (including social, emotional, academic)</w:t>
            </w:r>
            <w:r w:rsidRPr="009D1AD3">
              <w:rPr>
                <w:rFonts w:ascii="Times New Roman" w:hAnsi="Times New Roman" w:cs="Times New Roman"/>
              </w:rPr>
              <w:t xml:space="preserve">; </w:t>
            </w:r>
            <w:r w:rsidRPr="009D1AD3">
              <w:rPr>
                <w:rFonts w:ascii="Times New Roman" w:eastAsia="Times New Roman" w:hAnsi="Times New Roman" w:cs="Times New Roman"/>
              </w:rPr>
              <w:t>application of learning theory in practice</w:t>
            </w:r>
          </w:p>
        </w:tc>
        <w:tc>
          <w:tcPr>
            <w:tcW w:w="2880" w:type="dxa"/>
          </w:tcPr>
          <w:p w14:paraId="01792C41" w14:textId="575ABC5E" w:rsidR="00D4283C" w:rsidRPr="009D1AD3" w:rsidRDefault="00D114DC" w:rsidP="007721C8">
            <w:pPr>
              <w:rPr>
                <w:rFonts w:ascii="Times New Roman" w:hAnsi="Times New Roman" w:cs="Times New Roman"/>
              </w:rPr>
            </w:pPr>
            <w:r w:rsidRPr="009D1AD3">
              <w:rPr>
                <w:rFonts w:ascii="Times New Roman" w:hAnsi="Times New Roman" w:cs="Times New Roman"/>
              </w:rPr>
              <w:t>Internship</w:t>
            </w:r>
          </w:p>
        </w:tc>
        <w:tc>
          <w:tcPr>
            <w:tcW w:w="2505" w:type="dxa"/>
          </w:tcPr>
          <w:p w14:paraId="20A36094" w14:textId="77777777" w:rsidR="00D4283C" w:rsidRPr="009D1AD3" w:rsidRDefault="00D4283C" w:rsidP="007721C8">
            <w:pPr>
              <w:rPr>
                <w:rFonts w:ascii="Times New Roman" w:hAnsi="Times New Roman" w:cs="Times New Roman"/>
              </w:rPr>
            </w:pPr>
          </w:p>
        </w:tc>
      </w:tr>
      <w:tr w:rsidR="00D4283C" w:rsidRPr="009D1AD3" w14:paraId="6D878480" w14:textId="77777777" w:rsidTr="00742BB5">
        <w:trPr>
          <w:trHeight w:val="546"/>
        </w:trPr>
        <w:tc>
          <w:tcPr>
            <w:tcW w:w="5385" w:type="dxa"/>
            <w:vAlign w:val="bottom"/>
          </w:tcPr>
          <w:p w14:paraId="12A2E09C" w14:textId="5490A0AA" w:rsidR="00D4283C" w:rsidRPr="009D1AD3" w:rsidRDefault="00D4283C" w:rsidP="007721C8">
            <w:pPr>
              <w:rPr>
                <w:rFonts w:ascii="Times New Roman" w:hAnsi="Times New Roman" w:cs="Times New Roman"/>
              </w:rPr>
            </w:pPr>
            <w:r w:rsidRPr="009D1AD3">
              <w:rPr>
                <w:rFonts w:ascii="Times New Roman" w:eastAsia="Calibri" w:hAnsi="Times New Roman" w:cs="Times New Roman"/>
              </w:rPr>
              <w:t>Culturally responsive practice, including intersectionality of race, ethnicity, class, gender identity and expression, sexual identity, and the impact of language acquisition and literacy development on learning</w:t>
            </w:r>
          </w:p>
        </w:tc>
        <w:tc>
          <w:tcPr>
            <w:tcW w:w="2880" w:type="dxa"/>
          </w:tcPr>
          <w:p w14:paraId="0D8F877C" w14:textId="31A479A7" w:rsidR="00D4283C" w:rsidRPr="009D1AD3" w:rsidRDefault="00D114DC" w:rsidP="007721C8">
            <w:pPr>
              <w:rPr>
                <w:rFonts w:ascii="Times New Roman" w:hAnsi="Times New Roman" w:cs="Times New Roman"/>
              </w:rPr>
            </w:pPr>
            <w:r w:rsidRPr="009D1AD3">
              <w:rPr>
                <w:rFonts w:ascii="Times New Roman" w:hAnsi="Times New Roman" w:cs="Times New Roman"/>
              </w:rPr>
              <w:t>INSPIRE, course mapping, content of experiences</w:t>
            </w:r>
          </w:p>
        </w:tc>
        <w:tc>
          <w:tcPr>
            <w:tcW w:w="2505" w:type="dxa"/>
          </w:tcPr>
          <w:p w14:paraId="564D461C" w14:textId="280702A1" w:rsidR="00D4283C" w:rsidRPr="009D1AD3" w:rsidRDefault="00D4283C" w:rsidP="002D48FB">
            <w:pPr>
              <w:pStyle w:val="NormalWeb"/>
            </w:pPr>
          </w:p>
        </w:tc>
      </w:tr>
      <w:tr w:rsidR="00E06804" w:rsidRPr="009D1AD3" w14:paraId="23157A9A" w14:textId="77777777" w:rsidTr="00E06804">
        <w:trPr>
          <w:trHeight w:val="573"/>
        </w:trPr>
        <w:tc>
          <w:tcPr>
            <w:tcW w:w="5385" w:type="dxa"/>
            <w:vAlign w:val="bottom"/>
          </w:tcPr>
          <w:p w14:paraId="62B20787" w14:textId="77777777" w:rsidR="00D4283C" w:rsidRPr="009D1AD3" w:rsidRDefault="00D4283C" w:rsidP="007721C8">
            <w:pPr>
              <w:rPr>
                <w:rFonts w:ascii="Times New Roman" w:eastAsia="Times New Roman" w:hAnsi="Times New Roman" w:cs="Times New Roman"/>
              </w:rPr>
            </w:pPr>
          </w:p>
          <w:p w14:paraId="1463CD64" w14:textId="14E9A6D5" w:rsidR="00E06804" w:rsidRPr="009D1AD3" w:rsidRDefault="00E06804" w:rsidP="007721C8">
            <w:pPr>
              <w:rPr>
                <w:rFonts w:ascii="Times New Roman" w:hAnsi="Times New Roman" w:cs="Times New Roman"/>
              </w:rPr>
            </w:pPr>
            <w:r w:rsidRPr="009D1AD3">
              <w:rPr>
                <w:rFonts w:ascii="Times New Roman" w:eastAsia="Times New Roman" w:hAnsi="Times New Roman" w:cs="Times New Roman"/>
              </w:rPr>
              <w:t>Assessment of /for learning, assessment; data literacy;</w:t>
            </w:r>
            <w:r w:rsidRPr="009D1AD3">
              <w:rPr>
                <w:rFonts w:ascii="Times New Roman" w:hAnsi="Times New Roman" w:cs="Times New Roman"/>
              </w:rPr>
              <w:t xml:space="preserve"> </w:t>
            </w:r>
            <w:r w:rsidRPr="009D1AD3">
              <w:rPr>
                <w:rFonts w:ascii="Times New Roman" w:eastAsia="Times New Roman" w:hAnsi="Times New Roman" w:cs="Times New Roman"/>
              </w:rPr>
              <w:t>use of data to inform practice; formative assessment</w:t>
            </w:r>
          </w:p>
        </w:tc>
        <w:tc>
          <w:tcPr>
            <w:tcW w:w="2880" w:type="dxa"/>
          </w:tcPr>
          <w:p w14:paraId="53CB2355" w14:textId="6EDEFB90" w:rsidR="00E06804" w:rsidRPr="009D1AD3" w:rsidRDefault="00D114DC" w:rsidP="007721C8">
            <w:pPr>
              <w:rPr>
                <w:rFonts w:ascii="Times New Roman" w:hAnsi="Times New Roman" w:cs="Times New Roman"/>
              </w:rPr>
            </w:pPr>
            <w:r w:rsidRPr="009D1AD3">
              <w:rPr>
                <w:rFonts w:ascii="Times New Roman" w:hAnsi="Times New Roman" w:cs="Times New Roman"/>
              </w:rPr>
              <w:t>Course</w:t>
            </w:r>
            <w:r w:rsidR="00E4534E" w:rsidRPr="009D1AD3">
              <w:rPr>
                <w:rFonts w:ascii="Times New Roman" w:hAnsi="Times New Roman" w:cs="Times New Roman"/>
              </w:rPr>
              <w:t>s</w:t>
            </w:r>
            <w:r w:rsidRPr="009D1AD3">
              <w:rPr>
                <w:rFonts w:ascii="Times New Roman" w:hAnsi="Times New Roman" w:cs="Times New Roman"/>
              </w:rPr>
              <w:t>?</w:t>
            </w:r>
          </w:p>
        </w:tc>
        <w:tc>
          <w:tcPr>
            <w:tcW w:w="2505" w:type="dxa"/>
          </w:tcPr>
          <w:p w14:paraId="331761F3" w14:textId="057EB166" w:rsidR="00E06804" w:rsidRPr="009D1AD3" w:rsidRDefault="00D114DC" w:rsidP="007721C8">
            <w:pPr>
              <w:rPr>
                <w:rFonts w:ascii="Times New Roman" w:hAnsi="Times New Roman" w:cs="Times New Roman"/>
              </w:rPr>
            </w:pPr>
            <w:r w:rsidRPr="009D1AD3">
              <w:rPr>
                <w:rFonts w:ascii="Times New Roman" w:hAnsi="Times New Roman" w:cs="Times New Roman"/>
              </w:rPr>
              <w:t>Are any course or assignment grades or ratings relevant here?</w:t>
            </w:r>
          </w:p>
        </w:tc>
      </w:tr>
      <w:tr w:rsidR="004B48BA" w:rsidRPr="009D1AD3" w14:paraId="755FB2F6" w14:textId="77777777" w:rsidTr="004B48BA">
        <w:tc>
          <w:tcPr>
            <w:tcW w:w="5385" w:type="dxa"/>
            <w:vAlign w:val="bottom"/>
          </w:tcPr>
          <w:p w14:paraId="07B574E7" w14:textId="77777777" w:rsidR="00D4283C" w:rsidRPr="009D1AD3" w:rsidRDefault="00D4283C" w:rsidP="007721C8">
            <w:pPr>
              <w:rPr>
                <w:rFonts w:ascii="Times New Roman" w:eastAsia="Times New Roman" w:hAnsi="Times New Roman" w:cs="Times New Roman"/>
                <w:lang w:val="en"/>
              </w:rPr>
            </w:pPr>
          </w:p>
          <w:p w14:paraId="3A5DB6BD" w14:textId="62D7B130" w:rsidR="00B84646" w:rsidRPr="009D1AD3" w:rsidRDefault="00B84646" w:rsidP="007721C8">
            <w:pPr>
              <w:rPr>
                <w:rFonts w:ascii="Times New Roman" w:hAnsi="Times New Roman" w:cs="Times New Roman"/>
              </w:rPr>
            </w:pPr>
            <w:r w:rsidRPr="009D1AD3">
              <w:rPr>
                <w:rFonts w:ascii="Times New Roman" w:eastAsia="Times New Roman" w:hAnsi="Times New Roman" w:cs="Times New Roman"/>
              </w:rPr>
              <w:t>Creation and development of positive learning and work environments</w:t>
            </w:r>
          </w:p>
        </w:tc>
        <w:tc>
          <w:tcPr>
            <w:tcW w:w="2880" w:type="dxa"/>
          </w:tcPr>
          <w:p w14:paraId="3838428F" w14:textId="32508812" w:rsidR="00B84646" w:rsidRPr="009D1AD3" w:rsidRDefault="00D114DC" w:rsidP="007721C8">
            <w:pPr>
              <w:rPr>
                <w:rFonts w:ascii="Times New Roman" w:hAnsi="Times New Roman" w:cs="Times New Roman"/>
              </w:rPr>
            </w:pPr>
            <w:r w:rsidRPr="009D1AD3">
              <w:rPr>
                <w:rFonts w:ascii="Times New Roman" w:hAnsi="Times New Roman" w:cs="Times New Roman"/>
              </w:rPr>
              <w:t>INSPIRE and inferred from experiences</w:t>
            </w:r>
          </w:p>
        </w:tc>
        <w:tc>
          <w:tcPr>
            <w:tcW w:w="2505" w:type="dxa"/>
          </w:tcPr>
          <w:p w14:paraId="615E2FE1" w14:textId="77777777" w:rsidR="00B84646" w:rsidRPr="009D1AD3" w:rsidRDefault="00B84646" w:rsidP="007721C8">
            <w:pPr>
              <w:rPr>
                <w:rFonts w:ascii="Times New Roman" w:hAnsi="Times New Roman" w:cs="Times New Roman"/>
              </w:rPr>
            </w:pPr>
          </w:p>
        </w:tc>
      </w:tr>
      <w:tr w:rsidR="004B48BA" w:rsidRPr="009D1AD3" w14:paraId="75F01A39" w14:textId="77777777" w:rsidTr="004B48BA">
        <w:tc>
          <w:tcPr>
            <w:tcW w:w="5385" w:type="dxa"/>
            <w:vAlign w:val="bottom"/>
          </w:tcPr>
          <w:p w14:paraId="126E49DB" w14:textId="77777777" w:rsidR="00D4283C" w:rsidRPr="009D1AD3" w:rsidRDefault="00D4283C" w:rsidP="007721C8">
            <w:pPr>
              <w:rPr>
                <w:rFonts w:ascii="Times New Roman" w:eastAsia="Times New Roman" w:hAnsi="Times New Roman" w:cs="Times New Roman"/>
                <w:lang w:val="en"/>
              </w:rPr>
            </w:pPr>
          </w:p>
          <w:p w14:paraId="7DA9743B" w14:textId="57527C10" w:rsidR="00B84646" w:rsidRPr="009D1AD3" w:rsidRDefault="00B84646" w:rsidP="007721C8">
            <w:pPr>
              <w:rPr>
                <w:rFonts w:ascii="Times New Roman" w:hAnsi="Times New Roman" w:cs="Times New Roman"/>
              </w:rPr>
            </w:pPr>
            <w:r w:rsidRPr="009D1AD3">
              <w:rPr>
                <w:rFonts w:ascii="Times New Roman" w:eastAsia="Times New Roman" w:hAnsi="Times New Roman" w:cs="Times New Roman"/>
              </w:rPr>
              <w:t>Dispositions and behaviors required for successful professional practice</w:t>
            </w:r>
          </w:p>
        </w:tc>
        <w:tc>
          <w:tcPr>
            <w:tcW w:w="2880" w:type="dxa"/>
          </w:tcPr>
          <w:p w14:paraId="68DCF93C" w14:textId="4B4ED39B" w:rsidR="00B84646" w:rsidRPr="009D1AD3" w:rsidRDefault="002D48FB" w:rsidP="007721C8">
            <w:pPr>
              <w:rPr>
                <w:rFonts w:ascii="Times New Roman" w:hAnsi="Times New Roman" w:cs="Times New Roman"/>
              </w:rPr>
            </w:pPr>
            <w:r w:rsidRPr="009D1AD3">
              <w:rPr>
                <w:rFonts w:ascii="Times New Roman" w:hAnsi="Times New Roman" w:cs="Times New Roman"/>
              </w:rPr>
              <w:t>Screened in the interview</w:t>
            </w:r>
          </w:p>
        </w:tc>
        <w:tc>
          <w:tcPr>
            <w:tcW w:w="2505" w:type="dxa"/>
          </w:tcPr>
          <w:p w14:paraId="0052721B" w14:textId="722A5534" w:rsidR="00B84646" w:rsidRPr="009D1AD3" w:rsidRDefault="002D48FB" w:rsidP="007721C8">
            <w:pPr>
              <w:rPr>
                <w:rFonts w:ascii="Times New Roman" w:hAnsi="Times New Roman" w:cs="Times New Roman"/>
              </w:rPr>
            </w:pPr>
            <w:r w:rsidRPr="009D1AD3">
              <w:rPr>
                <w:rFonts w:ascii="Times New Roman" w:hAnsi="Times New Roman" w:cs="Times New Roman"/>
              </w:rPr>
              <w:t>Are they also part of the evaluation in internship?</w:t>
            </w:r>
          </w:p>
        </w:tc>
      </w:tr>
    </w:tbl>
    <w:p w14:paraId="220A247E" w14:textId="77777777" w:rsidR="00B84646" w:rsidRPr="009D1AD3" w:rsidRDefault="00B84646">
      <w:pPr>
        <w:rPr>
          <w:rFonts w:ascii="Times New Roman" w:eastAsia="Calibri" w:hAnsi="Times New Roman" w:cs="Times New Roman"/>
          <w:sz w:val="24"/>
          <w:szCs w:val="24"/>
        </w:rPr>
      </w:pPr>
    </w:p>
    <w:p w14:paraId="1F617F39" w14:textId="50075D79" w:rsidR="00E06804" w:rsidRPr="009D1AD3" w:rsidRDefault="00E06804">
      <w:pPr>
        <w:rPr>
          <w:rFonts w:ascii="Times New Roman" w:eastAsia="Calibri" w:hAnsi="Times New Roman" w:cs="Times New Roman"/>
          <w:sz w:val="24"/>
          <w:szCs w:val="24"/>
        </w:rPr>
      </w:pPr>
    </w:p>
    <w:p w14:paraId="4599C2EC" w14:textId="005F33D0" w:rsidR="00E06804" w:rsidRPr="009D1AD3" w:rsidRDefault="00667862">
      <w:pPr>
        <w:rPr>
          <w:rFonts w:ascii="Times New Roman" w:eastAsia="Calibri" w:hAnsi="Times New Roman" w:cs="Times New Roman"/>
          <w:b/>
          <w:sz w:val="24"/>
          <w:szCs w:val="24"/>
        </w:rPr>
      </w:pPr>
      <w:r w:rsidRPr="009D1AD3">
        <w:rPr>
          <w:rFonts w:ascii="Times New Roman" w:eastAsia="Calibri" w:hAnsi="Times New Roman" w:cs="Times New Roman"/>
          <w:b/>
          <w:sz w:val="24"/>
          <w:szCs w:val="24"/>
        </w:rPr>
        <w:t>Comments specific to text or tables</w:t>
      </w:r>
    </w:p>
    <w:tbl>
      <w:tblPr>
        <w:tblStyle w:val="TableGrid"/>
        <w:tblW w:w="0" w:type="auto"/>
        <w:tblLook w:val="04A0" w:firstRow="1" w:lastRow="0" w:firstColumn="1" w:lastColumn="0" w:noHBand="0" w:noVBand="1"/>
      </w:tblPr>
      <w:tblGrid>
        <w:gridCol w:w="3325"/>
        <w:gridCol w:w="7465"/>
      </w:tblGrid>
      <w:tr w:rsidR="00E06804" w:rsidRPr="009D1AD3" w14:paraId="06139E02" w14:textId="77777777" w:rsidTr="0076359B">
        <w:tc>
          <w:tcPr>
            <w:tcW w:w="3325" w:type="dxa"/>
          </w:tcPr>
          <w:p w14:paraId="7D9D06B8" w14:textId="63D2C253" w:rsidR="00E06804" w:rsidRPr="009D1AD3" w:rsidRDefault="00363C92" w:rsidP="0076359B">
            <w:pPr>
              <w:spacing w:before="120"/>
              <w:rPr>
                <w:rFonts w:ascii="Times New Roman" w:eastAsia="Calibri" w:hAnsi="Times New Roman" w:cs="Times New Roman"/>
              </w:rPr>
            </w:pPr>
            <w:r w:rsidRPr="009D1AD3">
              <w:rPr>
                <w:rFonts w:ascii="Times New Roman" w:eastAsia="Calibri" w:hAnsi="Times New Roman" w:cs="Times New Roman"/>
              </w:rPr>
              <w:t>Standard 1 Inspire scores</w:t>
            </w:r>
          </w:p>
        </w:tc>
        <w:tc>
          <w:tcPr>
            <w:tcW w:w="7465" w:type="dxa"/>
          </w:tcPr>
          <w:p w14:paraId="499D4A25" w14:textId="77777777" w:rsidR="00E06804" w:rsidRPr="009D1AD3" w:rsidRDefault="00363C92">
            <w:pPr>
              <w:rPr>
                <w:rFonts w:ascii="Times New Roman" w:eastAsia="Calibri" w:hAnsi="Times New Roman" w:cs="Times New Roman"/>
              </w:rPr>
            </w:pPr>
            <w:r w:rsidRPr="009D1AD3">
              <w:rPr>
                <w:rFonts w:ascii="Times New Roman" w:eastAsia="Calibri" w:hAnsi="Times New Roman" w:cs="Times New Roman"/>
              </w:rPr>
              <w:t xml:space="preserve">There isn’t much commentary, and in general “less is more” in these things. But it looks like, one, sometimes two, out of 16 respondents gave pretty low ratings. These don’t detract from the main story of strength, but do the occasional low ratings give the faculty pause? Do you have a theory, or do the scores indicate either an area for strengthening the </w:t>
            </w:r>
            <w:r w:rsidRPr="009D1AD3">
              <w:rPr>
                <w:rFonts w:ascii="Times New Roman" w:eastAsia="Calibri" w:hAnsi="Times New Roman" w:cs="Times New Roman"/>
              </w:rPr>
              <w:lastRenderedPageBreak/>
              <w:t>program or possibly inconsistencies in field placement experiences? I guess I’m wondering why the writer wasn’t wondering why the few low scores were there (again, not to make that the main part of the story. But it is a SMALL part of the story.</w:t>
            </w:r>
          </w:p>
          <w:p w14:paraId="3D48A0C8" w14:textId="77777777" w:rsidR="00DB245E" w:rsidRPr="009D1AD3" w:rsidRDefault="00DB245E">
            <w:pPr>
              <w:rPr>
                <w:rFonts w:ascii="Times New Roman" w:eastAsia="Calibri" w:hAnsi="Times New Roman" w:cs="Times New Roman"/>
              </w:rPr>
            </w:pPr>
          </w:p>
          <w:p w14:paraId="0C17BF54" w14:textId="24851034" w:rsidR="00DB245E" w:rsidRPr="009D1AD3" w:rsidRDefault="00DB245E">
            <w:pPr>
              <w:rPr>
                <w:rFonts w:ascii="Times New Roman" w:eastAsia="Calibri" w:hAnsi="Times New Roman" w:cs="Times New Roman"/>
              </w:rPr>
            </w:pPr>
            <w:r w:rsidRPr="009D1AD3">
              <w:rPr>
                <w:rFonts w:ascii="Times New Roman" w:eastAsia="Calibri" w:hAnsi="Times New Roman" w:cs="Times New Roman"/>
              </w:rPr>
              <w:t xml:space="preserve">Also, from looking at the USU data from INSPIRE and the </w:t>
            </w:r>
            <w:r w:rsidR="002D48FB" w:rsidRPr="009D1AD3">
              <w:rPr>
                <w:rFonts w:ascii="Times New Roman" w:eastAsia="Calibri" w:hAnsi="Times New Roman" w:cs="Times New Roman"/>
              </w:rPr>
              <w:t xml:space="preserve">national </w:t>
            </w:r>
            <w:r w:rsidRPr="009D1AD3">
              <w:rPr>
                <w:rFonts w:ascii="Times New Roman" w:eastAsia="Calibri" w:hAnsi="Times New Roman" w:cs="Times New Roman"/>
              </w:rPr>
              <w:t xml:space="preserve">aggregate, I can see that some comparisons could be made. </w:t>
            </w:r>
            <w:r w:rsidR="002D48FB" w:rsidRPr="009D1AD3">
              <w:rPr>
                <w:rFonts w:ascii="Times New Roman" w:eastAsia="Calibri" w:hAnsi="Times New Roman" w:cs="Times New Roman"/>
              </w:rPr>
              <w:t>A</w:t>
            </w:r>
            <w:r w:rsidRPr="009D1AD3">
              <w:rPr>
                <w:rFonts w:ascii="Times New Roman" w:eastAsia="Calibri" w:hAnsi="Times New Roman" w:cs="Times New Roman"/>
              </w:rPr>
              <w:t xml:space="preserve"> table looking at USU</w:t>
            </w:r>
            <w:r w:rsidR="002D48FB" w:rsidRPr="009D1AD3">
              <w:rPr>
                <w:rFonts w:ascii="Times New Roman" w:eastAsia="Calibri" w:hAnsi="Times New Roman" w:cs="Times New Roman"/>
              </w:rPr>
              <w:t>’s data</w:t>
            </w:r>
            <w:r w:rsidRPr="009D1AD3">
              <w:rPr>
                <w:rFonts w:ascii="Times New Roman" w:eastAsia="Calibri" w:hAnsi="Times New Roman" w:cs="Times New Roman"/>
              </w:rPr>
              <w:t xml:space="preserve"> over the</w:t>
            </w:r>
            <w:r w:rsidR="002D48FB" w:rsidRPr="009D1AD3">
              <w:rPr>
                <w:rFonts w:ascii="Times New Roman" w:eastAsia="Calibri" w:hAnsi="Times New Roman" w:cs="Times New Roman"/>
              </w:rPr>
              <w:t xml:space="preserve"> three available years against the aggregate for the year for which aggregate is available would be useful</w:t>
            </w:r>
            <w:r w:rsidRPr="009D1AD3">
              <w:rPr>
                <w:rFonts w:ascii="Times New Roman" w:eastAsia="Calibri" w:hAnsi="Times New Roman" w:cs="Times New Roman"/>
              </w:rPr>
              <w:t xml:space="preserve">. </w:t>
            </w:r>
            <w:r w:rsidR="002D48FB" w:rsidRPr="009D1AD3">
              <w:rPr>
                <w:rFonts w:ascii="Times New Roman" w:eastAsia="Calibri" w:hAnsi="Times New Roman" w:cs="Times New Roman"/>
              </w:rPr>
              <w:t>The comparisons may contain use</w:t>
            </w:r>
            <w:r w:rsidRPr="009D1AD3">
              <w:rPr>
                <w:rFonts w:ascii="Times New Roman" w:eastAsia="Calibri" w:hAnsi="Times New Roman" w:cs="Times New Roman"/>
              </w:rPr>
              <w:t>ful information in trends and on relative standing.</w:t>
            </w:r>
            <w:r w:rsidR="002D48FB" w:rsidRPr="009D1AD3">
              <w:rPr>
                <w:rFonts w:ascii="Times New Roman" w:eastAsia="Calibri" w:hAnsi="Times New Roman" w:cs="Times New Roman"/>
              </w:rPr>
              <w:t xml:space="preserve"> In addition, such a longitudinal look at the data, along with comparison to a national benchmark, would address Standards 3 and 4.</w:t>
            </w:r>
          </w:p>
        </w:tc>
      </w:tr>
      <w:tr w:rsidR="00E06804" w:rsidRPr="009D1AD3" w14:paraId="3D716402" w14:textId="77777777" w:rsidTr="0076359B">
        <w:tc>
          <w:tcPr>
            <w:tcW w:w="3325" w:type="dxa"/>
          </w:tcPr>
          <w:p w14:paraId="39A177D0" w14:textId="607A4BEB" w:rsidR="00E06804" w:rsidRPr="009D1AD3" w:rsidRDefault="00D82C05" w:rsidP="0076359B">
            <w:pPr>
              <w:spacing w:before="120"/>
              <w:rPr>
                <w:rFonts w:ascii="Times New Roman" w:eastAsia="Calibri" w:hAnsi="Times New Roman" w:cs="Times New Roman"/>
              </w:rPr>
            </w:pPr>
            <w:r w:rsidRPr="009D1AD3">
              <w:rPr>
                <w:rFonts w:ascii="Times New Roman" w:eastAsia="Calibri" w:hAnsi="Times New Roman" w:cs="Times New Roman"/>
              </w:rPr>
              <w:lastRenderedPageBreak/>
              <w:t>Rating of internship EXPERIENCES</w:t>
            </w:r>
          </w:p>
        </w:tc>
        <w:tc>
          <w:tcPr>
            <w:tcW w:w="7465" w:type="dxa"/>
          </w:tcPr>
          <w:p w14:paraId="027E2C2D" w14:textId="70611B3B" w:rsidR="00E06804" w:rsidRPr="009D1AD3" w:rsidRDefault="00D82C05" w:rsidP="002D48FB">
            <w:pPr>
              <w:pStyle w:val="NormalWeb"/>
            </w:pPr>
            <w:r w:rsidRPr="009D1AD3">
              <w:rPr>
                <w:rFonts w:eastAsia="Calibri"/>
              </w:rPr>
              <w:t>From this: “</w:t>
            </w:r>
            <w:r w:rsidRPr="009D1AD3">
              <w:t xml:space="preserve">Mentors and the University Supervisor rate the candidates’ field experience for each of the UEL Standards (3 individual ratings) based on whether the candidate’s experience was 1) Unacceptable, 2) Weak, 3) Competent, 4) Good, or 5) Strong. A rating of three or higher indicates the candidate had an acceptable experience applying what they have learned for each of the UEL Standards. “ So the experience is rated—what </w:t>
            </w:r>
            <w:r w:rsidR="002D48FB" w:rsidRPr="009D1AD3">
              <w:t>about</w:t>
            </w:r>
            <w:r w:rsidRPr="009D1AD3">
              <w:t xml:space="preserve"> the</w:t>
            </w:r>
            <w:r w:rsidR="002D48FB" w:rsidRPr="009D1AD3">
              <w:t xml:space="preserve"> actual</w:t>
            </w:r>
            <w:r w:rsidRPr="009D1AD3">
              <w:t xml:space="preserve"> performance?</w:t>
            </w:r>
            <w:r w:rsidR="002D48FB" w:rsidRPr="009D1AD3">
              <w:t xml:space="preserve">  Is candidate performance in the internship rated?</w:t>
            </w:r>
          </w:p>
        </w:tc>
      </w:tr>
      <w:tr w:rsidR="00E06804" w:rsidRPr="009D1AD3" w14:paraId="637FA674" w14:textId="77777777" w:rsidTr="0076359B">
        <w:tc>
          <w:tcPr>
            <w:tcW w:w="3325" w:type="dxa"/>
          </w:tcPr>
          <w:p w14:paraId="42167A45" w14:textId="6F71CB2C" w:rsidR="00E06804" w:rsidRPr="009D1AD3" w:rsidRDefault="002D48FB" w:rsidP="0076359B">
            <w:pPr>
              <w:spacing w:before="120"/>
              <w:rPr>
                <w:rFonts w:ascii="Times New Roman" w:eastAsia="Calibri" w:hAnsi="Times New Roman" w:cs="Times New Roman"/>
              </w:rPr>
            </w:pPr>
            <w:r w:rsidRPr="009D1AD3">
              <w:rPr>
                <w:rFonts w:ascii="Times New Roman" w:eastAsia="Calibri" w:hAnsi="Times New Roman" w:cs="Times New Roman"/>
              </w:rPr>
              <w:t>Focus Group comments</w:t>
            </w:r>
          </w:p>
        </w:tc>
        <w:tc>
          <w:tcPr>
            <w:tcW w:w="7465" w:type="dxa"/>
          </w:tcPr>
          <w:p w14:paraId="735D75DD" w14:textId="211952CB" w:rsidR="00E06804" w:rsidRPr="009D1AD3" w:rsidRDefault="002D48FB" w:rsidP="002D48FB">
            <w:pPr>
              <w:pStyle w:val="NormalWeb"/>
            </w:pPr>
            <w:r w:rsidRPr="009D1AD3">
              <w:t>“</w:t>
            </w:r>
            <w:r w:rsidR="008E46EC" w:rsidRPr="009D1AD3">
              <w:t xml:space="preserve">The missing special ed law class for administrators is noticeable. </w:t>
            </w:r>
            <w:r w:rsidRPr="009D1AD3">
              <w:t>“</w:t>
            </w:r>
            <w:r w:rsidR="008E46EC" w:rsidRPr="009D1AD3">
              <w:t>(from focus group)</w:t>
            </w:r>
            <w:r w:rsidRPr="009D1AD3">
              <w:t>. Thoughts about addressing this?</w:t>
            </w:r>
          </w:p>
        </w:tc>
      </w:tr>
      <w:tr w:rsidR="0076359B" w:rsidRPr="009D1AD3" w14:paraId="2731925C" w14:textId="77777777" w:rsidTr="0076359B">
        <w:tc>
          <w:tcPr>
            <w:tcW w:w="3325" w:type="dxa"/>
          </w:tcPr>
          <w:p w14:paraId="0472B1C1" w14:textId="77777777" w:rsidR="002D48FB" w:rsidRPr="009D1AD3" w:rsidRDefault="002D48FB" w:rsidP="002D48FB">
            <w:pPr>
              <w:pStyle w:val="NormalWeb"/>
            </w:pPr>
            <w:r w:rsidRPr="009D1AD3">
              <w:t xml:space="preserve">Not needed for Instructional Leadership: </w:t>
            </w:r>
            <w:r w:rsidRPr="009D1AD3">
              <w:rPr>
                <w:color w:val="2D5193"/>
              </w:rPr>
              <w:t xml:space="preserve">AAQEP Data Matrix Categories </w:t>
            </w:r>
            <w:r w:rsidRPr="009D1AD3">
              <w:br/>
              <w:t>Pedagogical knowledge relevant to credential  (Agree)</w:t>
            </w:r>
          </w:p>
          <w:p w14:paraId="223E1E03" w14:textId="3B88A6C5" w:rsidR="002D48FB" w:rsidRPr="009D1AD3" w:rsidRDefault="002D48FB" w:rsidP="002D48FB">
            <w:pPr>
              <w:pStyle w:val="NormalWeb"/>
            </w:pPr>
            <w:r w:rsidRPr="009D1AD3">
              <w:t>Impact of language acquisition/literacy on learning (Question – see below under clarification questions)</w:t>
            </w:r>
          </w:p>
          <w:p w14:paraId="281E1783" w14:textId="2114CE29" w:rsidR="0076359B" w:rsidRPr="009D1AD3" w:rsidRDefault="0076359B" w:rsidP="0076359B">
            <w:pPr>
              <w:spacing w:before="120"/>
              <w:rPr>
                <w:rFonts w:ascii="Times New Roman" w:eastAsia="Calibri" w:hAnsi="Times New Roman" w:cs="Times New Roman"/>
              </w:rPr>
            </w:pPr>
          </w:p>
        </w:tc>
        <w:tc>
          <w:tcPr>
            <w:tcW w:w="7465" w:type="dxa"/>
          </w:tcPr>
          <w:p w14:paraId="5EBA06DC" w14:textId="77777777" w:rsidR="002D48FB" w:rsidRPr="009D1AD3" w:rsidRDefault="002D48FB">
            <w:pPr>
              <w:rPr>
                <w:rFonts w:ascii="Times New Roman" w:eastAsia="Calibri" w:hAnsi="Times New Roman" w:cs="Times New Roman"/>
              </w:rPr>
            </w:pPr>
          </w:p>
          <w:p w14:paraId="2578D289" w14:textId="07298402" w:rsidR="0076359B" w:rsidRPr="009D1AD3" w:rsidRDefault="002D48FB">
            <w:pPr>
              <w:rPr>
                <w:rFonts w:ascii="Times New Roman" w:eastAsia="Calibri" w:hAnsi="Times New Roman" w:cs="Times New Roman"/>
              </w:rPr>
            </w:pPr>
            <w:r w:rsidRPr="009D1AD3">
              <w:rPr>
                <w:rFonts w:ascii="Times New Roman" w:eastAsia="Calibri" w:hAnsi="Times New Roman" w:cs="Times New Roman"/>
              </w:rPr>
              <w:t>To the extent that literacy is a priority in schools, and to the extent that second language learners (EL s) are a part of the Utah student population, it would seem that knowledge of and ability to support teachers in instructing ELs and in supporting literacy development would be important. The INSPIRE give you some related (you have to extrapolate) evidence on this. What do you think?</w:t>
            </w:r>
          </w:p>
        </w:tc>
      </w:tr>
    </w:tbl>
    <w:p w14:paraId="4B04FBC0" w14:textId="1407D1C0" w:rsidR="002D5634" w:rsidRPr="009D1AD3" w:rsidRDefault="002D5634">
      <w:pPr>
        <w:rPr>
          <w:rFonts w:ascii="Times New Roman" w:eastAsia="Calibri" w:hAnsi="Times New Roman" w:cs="Times New Roman"/>
          <w:sz w:val="24"/>
          <w:szCs w:val="24"/>
        </w:rPr>
      </w:pPr>
      <w:r w:rsidRPr="009D1AD3">
        <w:rPr>
          <w:rFonts w:ascii="Times New Roman" w:eastAsia="Calibri" w:hAnsi="Times New Roman" w:cs="Times New Roman"/>
          <w:sz w:val="24"/>
          <w:szCs w:val="24"/>
        </w:rPr>
        <w:br w:type="page"/>
      </w:r>
    </w:p>
    <w:p w14:paraId="1CE130C4" w14:textId="77777777" w:rsidR="00CE404E" w:rsidRPr="009D1AD3" w:rsidRDefault="00CE404E" w:rsidP="00FD6359">
      <w:pPr>
        <w:pBdr>
          <w:top w:val="none" w:sz="0" w:space="0" w:color="auto"/>
        </w:pBdr>
        <w:spacing w:before="80" w:line="240" w:lineRule="auto"/>
        <w:rPr>
          <w:rFonts w:ascii="Times New Roman" w:eastAsia="Calibri" w:hAnsi="Times New Roman" w:cs="Times New Roman"/>
          <w:sz w:val="24"/>
          <w:szCs w:val="24"/>
        </w:rPr>
      </w:pPr>
      <w:r w:rsidRPr="009D1AD3">
        <w:rPr>
          <w:rFonts w:ascii="Times New Roman" w:eastAsia="Calibri" w:hAnsi="Times New Roman" w:cs="Times New Roman"/>
          <w:b/>
          <w:sz w:val="24"/>
          <w:szCs w:val="24"/>
          <w:u w:val="single"/>
        </w:rPr>
        <w:lastRenderedPageBreak/>
        <w:t>Standard 2: Completer Professional Competence and Growth</w:t>
      </w:r>
    </w:p>
    <w:p w14:paraId="0618A287" w14:textId="77777777" w:rsidR="00CE404E" w:rsidRPr="009D1AD3" w:rsidRDefault="00CE404E" w:rsidP="00FD6359">
      <w:pPr>
        <w:spacing w:before="80" w:line="240" w:lineRule="auto"/>
        <w:rPr>
          <w:rFonts w:ascii="Times New Roman" w:eastAsia="Calibri" w:hAnsi="Times New Roman" w:cs="Times New Roman"/>
          <w:i/>
          <w:sz w:val="24"/>
          <w:szCs w:val="24"/>
        </w:rPr>
      </w:pPr>
      <w:r w:rsidRPr="009D1AD3">
        <w:rPr>
          <w:rFonts w:ascii="Times New Roman" w:eastAsia="Calibri" w:hAnsi="Times New Roman" w:cs="Times New Roman"/>
          <w:i/>
          <w:sz w:val="24"/>
          <w:szCs w:val="24"/>
        </w:rPr>
        <w:t>Program completers adapt to working in a variety of contexts and grow as professionals.</w:t>
      </w:r>
    </w:p>
    <w:p w14:paraId="7A1FC7EB" w14:textId="77777777" w:rsidR="00CE404E" w:rsidRPr="009D1AD3" w:rsidRDefault="00CE404E" w:rsidP="00FD6359">
      <w:pPr>
        <w:spacing w:before="80" w:line="240" w:lineRule="auto"/>
        <w:rPr>
          <w:rFonts w:ascii="Times New Roman" w:eastAsia="Calibri" w:hAnsi="Times New Roman" w:cs="Times New Roman"/>
          <w:sz w:val="24"/>
          <w:szCs w:val="24"/>
        </w:rPr>
      </w:pPr>
      <w:r w:rsidRPr="009D1AD3">
        <w:rPr>
          <w:rFonts w:ascii="Times New Roman" w:eastAsia="Calibri" w:hAnsi="Times New Roman" w:cs="Times New Roman"/>
          <w:sz w:val="24"/>
          <w:szCs w:val="24"/>
        </w:rPr>
        <w:t xml:space="preserve">Program completers engage in professional practice in educational settings and show that they have the skills and abilities to do so in a variety of </w:t>
      </w:r>
      <w:r w:rsidRPr="009D1AD3">
        <w:rPr>
          <w:rFonts w:ascii="Times New Roman" w:eastAsia="Calibri" w:hAnsi="Times New Roman" w:cs="Times New Roman"/>
          <w:i/>
          <w:sz w:val="24"/>
          <w:szCs w:val="24"/>
        </w:rPr>
        <w:t>additional</w:t>
      </w:r>
      <w:r w:rsidRPr="009D1AD3">
        <w:rPr>
          <w:rFonts w:ascii="Times New Roman" w:eastAsia="Calibri" w:hAnsi="Times New Roman" w:cs="Times New Roman"/>
          <w:sz w:val="24"/>
          <w:szCs w:val="24"/>
        </w:rPr>
        <w:t xml:space="preserve"> settings and community/cultural contexts. For example, candidates must have broad and general knowledge of the impact of culture and language on learning, yet they cannot, within the context of any given program, experience working with the entire diversity of student identities, or in all types of school environments.  Candidate preparation includes first-hand professional experience accompanied by reflection that prepares candidates to engage effectively in different contexts they may encounter throughout their careers. Evidence shows that co</w:t>
      </w:r>
      <w:r w:rsidR="00E248C6" w:rsidRPr="009D1AD3">
        <w:rPr>
          <w:rFonts w:ascii="Times New Roman" w:eastAsia="Calibri" w:hAnsi="Times New Roman" w:cs="Times New Roman"/>
          <w:sz w:val="24"/>
          <w:szCs w:val="24"/>
        </w:rPr>
        <w:t>mpleters</w:t>
      </w:r>
      <w:r w:rsidR="00FD6359" w:rsidRPr="009D1AD3">
        <w:rPr>
          <w:rFonts w:ascii="Times New Roman" w:eastAsia="Calibri" w:hAnsi="Times New Roman" w:cs="Times New Roman"/>
          <w:sz w:val="24"/>
          <w:szCs w:val="24"/>
        </w:rPr>
        <w:t xml:space="preserve">: </w:t>
      </w:r>
    </w:p>
    <w:p w14:paraId="5BEA9FDC" w14:textId="77777777" w:rsidR="00D4283C" w:rsidRPr="009D1AD3" w:rsidRDefault="00D4283C" w:rsidP="00D4283C">
      <w:pPr>
        <w:spacing w:before="80" w:line="240" w:lineRule="auto"/>
        <w:rPr>
          <w:rFonts w:ascii="Times New Roman" w:eastAsia="Calibri" w:hAnsi="Times New Roman" w:cs="Times New Roman"/>
          <w:i/>
          <w:sz w:val="24"/>
          <w:szCs w:val="24"/>
        </w:rPr>
      </w:pPr>
      <w:r w:rsidRPr="009D1AD3">
        <w:rPr>
          <w:rFonts w:ascii="Times New Roman" w:eastAsia="Calibri" w:hAnsi="Times New Roman" w:cs="Times New Roman"/>
          <w:i/>
          <w:sz w:val="24"/>
          <w:szCs w:val="24"/>
        </w:rPr>
        <w:t>All six aspects of this standard, included in the table below, must be addressed in the evidence set for the standard.</w:t>
      </w:r>
    </w:p>
    <w:p w14:paraId="6A1AD40A" w14:textId="1191F977" w:rsidR="00CE404E" w:rsidRPr="009D1AD3" w:rsidRDefault="00CE404E" w:rsidP="0061131C">
      <w:pPr>
        <w:spacing w:before="80" w:line="240" w:lineRule="auto"/>
        <w:rPr>
          <w:rFonts w:ascii="Times New Roman" w:eastAsia="Calibri" w:hAnsi="Times New Roman" w:cs="Times New Roman"/>
          <w:sz w:val="24"/>
          <w:szCs w:val="24"/>
        </w:rPr>
      </w:pPr>
      <w:r w:rsidRPr="009D1AD3">
        <w:rPr>
          <w:rFonts w:ascii="Times New Roman" w:eastAsia="Calibri" w:hAnsi="Times New Roman" w:cs="Times New Roman"/>
          <w:sz w:val="24"/>
          <w:szCs w:val="24"/>
        </w:rPr>
        <w:t xml:space="preserve">Evidence for this standard will show both that program completers have engaged successfully in relevant professional practice and that they are equipped with strategies and reflective habits that will enable them to serve effectively in a variety of school placements </w:t>
      </w:r>
      <w:r w:rsidR="00DD771E" w:rsidRPr="009D1AD3">
        <w:rPr>
          <w:rFonts w:ascii="Times New Roman" w:eastAsia="Calibri" w:hAnsi="Times New Roman" w:cs="Times New Roman"/>
          <w:sz w:val="24"/>
          <w:szCs w:val="24"/>
        </w:rPr>
        <w:t>&amp;</w:t>
      </w:r>
      <w:r w:rsidRPr="009D1AD3">
        <w:rPr>
          <w:rFonts w:ascii="Times New Roman" w:eastAsia="Calibri" w:hAnsi="Times New Roman" w:cs="Times New Roman"/>
          <w:sz w:val="24"/>
          <w:szCs w:val="24"/>
        </w:rPr>
        <w:t xml:space="preserve"> educational settings appropriate to the credential or degree sought.</w:t>
      </w:r>
    </w:p>
    <w:p w14:paraId="452743DE" w14:textId="77777777" w:rsidR="0076359B" w:rsidRPr="009D1AD3" w:rsidRDefault="0076359B" w:rsidP="0076359B">
      <w:pPr>
        <w:rPr>
          <w:rFonts w:ascii="Times New Roman" w:eastAsia="Calibri" w:hAnsi="Times New Roman" w:cs="Times New Roman"/>
          <w:sz w:val="24"/>
          <w:szCs w:val="24"/>
        </w:rPr>
      </w:pPr>
    </w:p>
    <w:p w14:paraId="0E6364B5" w14:textId="77777777" w:rsidR="0076359B" w:rsidRPr="009D1AD3" w:rsidRDefault="0076359B" w:rsidP="0076359B">
      <w:pPr>
        <w:rPr>
          <w:rFonts w:ascii="Times New Roman" w:eastAsia="Calibri" w:hAnsi="Times New Roman" w:cs="Times New Roman"/>
          <w:sz w:val="24"/>
          <w:szCs w:val="24"/>
        </w:rPr>
      </w:pPr>
      <w:r w:rsidRPr="009D1AD3">
        <w:rPr>
          <w:rFonts w:ascii="Times New Roman" w:eastAsia="Calibri" w:hAnsi="Times New Roman" w:cs="Times New Roman"/>
          <w:b/>
          <w:sz w:val="24"/>
          <w:szCs w:val="24"/>
        </w:rPr>
        <w:t>Does the evidence address each aspect of the standard?</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5"/>
        <w:gridCol w:w="2880"/>
        <w:gridCol w:w="2505"/>
      </w:tblGrid>
      <w:tr w:rsidR="0076359B" w:rsidRPr="009D1AD3" w14:paraId="3D301218" w14:textId="77777777" w:rsidTr="007721C8">
        <w:tc>
          <w:tcPr>
            <w:tcW w:w="5385" w:type="dxa"/>
            <w:tcBorders>
              <w:bottom w:val="single" w:sz="12" w:space="0" w:color="auto"/>
            </w:tcBorders>
            <w:vAlign w:val="bottom"/>
          </w:tcPr>
          <w:p w14:paraId="161B2B0E" w14:textId="513B3FB6" w:rsidR="0076359B" w:rsidRPr="009D1AD3" w:rsidRDefault="0076359B" w:rsidP="007721C8">
            <w:pPr>
              <w:rPr>
                <w:rFonts w:ascii="Times New Roman" w:hAnsi="Times New Roman" w:cs="Times New Roman"/>
              </w:rPr>
            </w:pPr>
            <w:r w:rsidRPr="009D1AD3">
              <w:rPr>
                <w:rFonts w:ascii="Times New Roman" w:eastAsia="Times New Roman" w:hAnsi="Times New Roman" w:cs="Times New Roman"/>
                <w:b/>
                <w:bCs/>
              </w:rPr>
              <w:t xml:space="preserve">Aspects of Standard </w:t>
            </w:r>
            <w:r w:rsidR="00DD771E" w:rsidRPr="009D1AD3">
              <w:rPr>
                <w:rFonts w:ascii="Times New Roman" w:eastAsia="Times New Roman" w:hAnsi="Times New Roman" w:cs="Times New Roman"/>
                <w:b/>
                <w:bCs/>
              </w:rPr>
              <w:t>2</w:t>
            </w:r>
          </w:p>
        </w:tc>
        <w:tc>
          <w:tcPr>
            <w:tcW w:w="2880" w:type="dxa"/>
          </w:tcPr>
          <w:p w14:paraId="2B4F6D83" w14:textId="77777777" w:rsidR="0076359B" w:rsidRPr="009D1AD3" w:rsidRDefault="0076359B" w:rsidP="007721C8">
            <w:pPr>
              <w:rPr>
                <w:rFonts w:ascii="Times New Roman" w:hAnsi="Times New Roman" w:cs="Times New Roman"/>
              </w:rPr>
            </w:pPr>
            <w:r w:rsidRPr="009D1AD3">
              <w:rPr>
                <w:rFonts w:ascii="Times New Roman" w:hAnsi="Times New Roman" w:cs="Times New Roman"/>
              </w:rPr>
              <w:t xml:space="preserve">Evidence of quality or capacity </w:t>
            </w:r>
          </w:p>
        </w:tc>
        <w:tc>
          <w:tcPr>
            <w:tcW w:w="2505" w:type="dxa"/>
          </w:tcPr>
          <w:p w14:paraId="212901A0" w14:textId="77777777" w:rsidR="0076359B" w:rsidRPr="009D1AD3" w:rsidRDefault="0076359B" w:rsidP="007721C8">
            <w:pPr>
              <w:rPr>
                <w:rFonts w:ascii="Times New Roman" w:hAnsi="Times New Roman" w:cs="Times New Roman"/>
              </w:rPr>
            </w:pPr>
            <w:r w:rsidRPr="009D1AD3">
              <w:rPr>
                <w:rFonts w:ascii="Times New Roman" w:hAnsi="Times New Roman" w:cs="Times New Roman"/>
              </w:rPr>
              <w:t>Negative evidence or gap</w:t>
            </w:r>
          </w:p>
        </w:tc>
      </w:tr>
      <w:tr w:rsidR="00E63FFE" w:rsidRPr="009D1AD3" w14:paraId="0FE7ED33" w14:textId="77777777" w:rsidTr="00D4283C">
        <w:trPr>
          <w:trHeight w:val="780"/>
        </w:trPr>
        <w:tc>
          <w:tcPr>
            <w:tcW w:w="5385" w:type="dxa"/>
            <w:vAlign w:val="bottom"/>
          </w:tcPr>
          <w:p w14:paraId="7832FAAE" w14:textId="2DCCF957" w:rsidR="00E63FFE" w:rsidRPr="009D1AD3" w:rsidRDefault="00E63FFE" w:rsidP="007721C8">
            <w:pPr>
              <w:rPr>
                <w:rFonts w:ascii="Times New Roman" w:hAnsi="Times New Roman" w:cs="Times New Roman"/>
              </w:rPr>
            </w:pPr>
            <w:r w:rsidRPr="009D1AD3">
              <w:rPr>
                <w:rFonts w:ascii="Times New Roman" w:hAnsi="Times New Roman" w:cs="Times New Roman"/>
              </w:rPr>
              <w:t xml:space="preserve">Understand and engage local school and cultural communities; </w:t>
            </w:r>
            <w:r w:rsidR="00D4283C" w:rsidRPr="009D1AD3">
              <w:rPr>
                <w:rFonts w:ascii="Times New Roman" w:hAnsi="Times New Roman" w:cs="Times New Roman"/>
                <w:lang w:val="en"/>
              </w:rPr>
              <w:t>communicate and f</w:t>
            </w:r>
            <w:r w:rsidRPr="009D1AD3">
              <w:rPr>
                <w:rFonts w:ascii="Times New Roman" w:hAnsi="Times New Roman" w:cs="Times New Roman"/>
                <w:lang w:val="en"/>
              </w:rPr>
              <w:t>oster relationships with diverse families/guardians/caregivers</w:t>
            </w:r>
          </w:p>
        </w:tc>
        <w:tc>
          <w:tcPr>
            <w:tcW w:w="2880" w:type="dxa"/>
          </w:tcPr>
          <w:p w14:paraId="56C7EEDA" w14:textId="7ADC44ED" w:rsidR="00E63FFE" w:rsidRPr="009D1AD3" w:rsidRDefault="00E4534E" w:rsidP="007721C8">
            <w:pPr>
              <w:rPr>
                <w:rFonts w:ascii="Times New Roman" w:hAnsi="Times New Roman" w:cs="Times New Roman"/>
              </w:rPr>
            </w:pPr>
            <w:r w:rsidRPr="009D1AD3">
              <w:rPr>
                <w:rFonts w:ascii="Times New Roman" w:hAnsi="Times New Roman" w:cs="Times New Roman"/>
              </w:rPr>
              <w:t>Contacts with local districts, focus group discussions elicit local needs</w:t>
            </w:r>
          </w:p>
        </w:tc>
        <w:tc>
          <w:tcPr>
            <w:tcW w:w="2505" w:type="dxa"/>
          </w:tcPr>
          <w:p w14:paraId="4F2314F5" w14:textId="77777777" w:rsidR="00E63FFE" w:rsidRPr="009D1AD3" w:rsidRDefault="00E63FFE" w:rsidP="007721C8">
            <w:pPr>
              <w:rPr>
                <w:rFonts w:ascii="Times New Roman" w:hAnsi="Times New Roman" w:cs="Times New Roman"/>
              </w:rPr>
            </w:pPr>
          </w:p>
        </w:tc>
      </w:tr>
      <w:tr w:rsidR="00E63FFE" w:rsidRPr="009D1AD3" w14:paraId="59BF1EE4" w14:textId="77777777" w:rsidTr="00FE0A69">
        <w:trPr>
          <w:trHeight w:val="546"/>
        </w:trPr>
        <w:tc>
          <w:tcPr>
            <w:tcW w:w="5385" w:type="dxa"/>
            <w:vAlign w:val="bottom"/>
          </w:tcPr>
          <w:p w14:paraId="3AF169AE" w14:textId="0DC20F8D" w:rsidR="00E63FFE" w:rsidRPr="009D1AD3" w:rsidRDefault="00E63FFE" w:rsidP="007721C8">
            <w:pPr>
              <w:rPr>
                <w:rFonts w:ascii="Times New Roman" w:hAnsi="Times New Roman" w:cs="Times New Roman"/>
              </w:rPr>
            </w:pPr>
            <w:r w:rsidRPr="009D1AD3">
              <w:rPr>
                <w:rFonts w:ascii="Times New Roman" w:eastAsia="Times New Roman" w:hAnsi="Times New Roman" w:cs="Times New Roman"/>
              </w:rPr>
              <w:t>Engage in culturally responsive educational practices with diverse learners and engage in diverse cultural and socioeconomic community contexts</w:t>
            </w:r>
          </w:p>
        </w:tc>
        <w:tc>
          <w:tcPr>
            <w:tcW w:w="2880" w:type="dxa"/>
          </w:tcPr>
          <w:p w14:paraId="5A700EC0" w14:textId="5467A7D4" w:rsidR="00E63FFE" w:rsidRPr="009D1AD3" w:rsidRDefault="00E4534E" w:rsidP="007721C8">
            <w:pPr>
              <w:rPr>
                <w:rFonts w:ascii="Times New Roman" w:hAnsi="Times New Roman" w:cs="Times New Roman"/>
              </w:rPr>
            </w:pPr>
            <w:r w:rsidRPr="009D1AD3">
              <w:rPr>
                <w:rFonts w:ascii="Times New Roman" w:hAnsi="Times New Roman" w:cs="Times New Roman"/>
              </w:rPr>
              <w:t>INSPIRE data; not as much detail in focus group summary?</w:t>
            </w:r>
          </w:p>
        </w:tc>
        <w:tc>
          <w:tcPr>
            <w:tcW w:w="2505" w:type="dxa"/>
          </w:tcPr>
          <w:p w14:paraId="17F2D416" w14:textId="77777777" w:rsidR="00E63FFE" w:rsidRPr="009D1AD3" w:rsidRDefault="00E63FFE" w:rsidP="007721C8">
            <w:pPr>
              <w:rPr>
                <w:rFonts w:ascii="Times New Roman" w:hAnsi="Times New Roman" w:cs="Times New Roman"/>
              </w:rPr>
            </w:pPr>
          </w:p>
        </w:tc>
      </w:tr>
      <w:tr w:rsidR="00E63FFE" w:rsidRPr="009D1AD3" w14:paraId="1BA1BCE7" w14:textId="77777777" w:rsidTr="00B569DD">
        <w:trPr>
          <w:trHeight w:val="546"/>
        </w:trPr>
        <w:tc>
          <w:tcPr>
            <w:tcW w:w="5385" w:type="dxa"/>
            <w:vAlign w:val="bottom"/>
          </w:tcPr>
          <w:p w14:paraId="0F81F2DC" w14:textId="41E26F83" w:rsidR="00E63FFE" w:rsidRPr="009D1AD3" w:rsidRDefault="00E63FFE" w:rsidP="007721C8">
            <w:pPr>
              <w:rPr>
                <w:rFonts w:ascii="Times New Roman" w:hAnsi="Times New Roman" w:cs="Times New Roman"/>
              </w:rPr>
            </w:pPr>
            <w:r w:rsidRPr="009D1AD3">
              <w:rPr>
                <w:rFonts w:ascii="Times New Roman" w:eastAsia="Times New Roman" w:hAnsi="Times New Roman" w:cs="Times New Roman"/>
              </w:rPr>
              <w:t>Create productive learning environments</w:t>
            </w:r>
            <w:r w:rsidR="00D4283C" w:rsidRPr="009D1AD3">
              <w:rPr>
                <w:rFonts w:ascii="Times New Roman" w:hAnsi="Times New Roman" w:cs="Times New Roman"/>
              </w:rPr>
              <w:t xml:space="preserve"> and use</w:t>
            </w:r>
            <w:r w:rsidR="00D4283C" w:rsidRPr="009D1AD3">
              <w:rPr>
                <w:rFonts w:ascii="Times New Roman" w:eastAsia="Times New Roman" w:hAnsi="Times New Roman" w:cs="Times New Roman"/>
                <w:color w:val="000000"/>
              </w:rPr>
              <w:t xml:space="preserve"> strategies to</w:t>
            </w:r>
            <w:r w:rsidRPr="009D1AD3">
              <w:rPr>
                <w:rFonts w:ascii="Times New Roman" w:eastAsia="Times New Roman" w:hAnsi="Times New Roman" w:cs="Times New Roman"/>
                <w:color w:val="000000"/>
              </w:rPr>
              <w:t xml:space="preserve"> develop productive learning environments in diverse contexts</w:t>
            </w:r>
          </w:p>
        </w:tc>
        <w:tc>
          <w:tcPr>
            <w:tcW w:w="2880" w:type="dxa"/>
          </w:tcPr>
          <w:p w14:paraId="074E9780" w14:textId="5E7DA9CE" w:rsidR="00E63FFE" w:rsidRPr="009D1AD3" w:rsidRDefault="004E702F" w:rsidP="007721C8">
            <w:pPr>
              <w:rPr>
                <w:rFonts w:ascii="Times New Roman" w:hAnsi="Times New Roman" w:cs="Times New Roman"/>
              </w:rPr>
            </w:pPr>
            <w:r w:rsidRPr="009D1AD3">
              <w:rPr>
                <w:rFonts w:ascii="Times New Roman" w:hAnsi="Times New Roman" w:cs="Times New Roman"/>
              </w:rPr>
              <w:t>INSPIRE and focus group summary</w:t>
            </w:r>
          </w:p>
        </w:tc>
        <w:tc>
          <w:tcPr>
            <w:tcW w:w="2505" w:type="dxa"/>
          </w:tcPr>
          <w:p w14:paraId="6D16B81A" w14:textId="77777777" w:rsidR="00E63FFE" w:rsidRPr="009D1AD3" w:rsidRDefault="00E63FFE" w:rsidP="007721C8">
            <w:pPr>
              <w:rPr>
                <w:rFonts w:ascii="Times New Roman" w:hAnsi="Times New Roman" w:cs="Times New Roman"/>
              </w:rPr>
            </w:pPr>
          </w:p>
        </w:tc>
      </w:tr>
      <w:tr w:rsidR="0076359B" w:rsidRPr="009D1AD3" w14:paraId="26EBCCC5" w14:textId="77777777" w:rsidTr="007721C8">
        <w:trPr>
          <w:trHeight w:val="573"/>
        </w:trPr>
        <w:tc>
          <w:tcPr>
            <w:tcW w:w="5385" w:type="dxa"/>
            <w:vAlign w:val="bottom"/>
          </w:tcPr>
          <w:p w14:paraId="78D4A9FC" w14:textId="284E39D0" w:rsidR="0076359B" w:rsidRPr="009D1AD3" w:rsidRDefault="00E63FFE" w:rsidP="007721C8">
            <w:pPr>
              <w:rPr>
                <w:rFonts w:ascii="Times New Roman" w:hAnsi="Times New Roman" w:cs="Times New Roman"/>
              </w:rPr>
            </w:pPr>
            <w:r w:rsidRPr="009D1AD3">
              <w:rPr>
                <w:rFonts w:ascii="Times New Roman" w:eastAsia="Times New Roman" w:hAnsi="Times New Roman" w:cs="Times New Roman"/>
              </w:rPr>
              <w:t>Support students' growth in international and global perspectives</w:t>
            </w:r>
          </w:p>
        </w:tc>
        <w:tc>
          <w:tcPr>
            <w:tcW w:w="2880" w:type="dxa"/>
          </w:tcPr>
          <w:p w14:paraId="118A2ED2" w14:textId="3CF5CFFA" w:rsidR="0076359B" w:rsidRPr="009D1AD3" w:rsidRDefault="009D6BF8" w:rsidP="00A011F9">
            <w:pPr>
              <w:pStyle w:val="NormalWeb"/>
            </w:pPr>
            <w:r w:rsidRPr="009D1AD3">
              <w:t>Mission: We acknowledge and appreciate the complex contexts that shape our work, and we are committed to furthering the cause of equitable educational opportunity for all students. We aim to prepare students for informed and influential participation in local and global communities.</w:t>
            </w:r>
          </w:p>
        </w:tc>
        <w:tc>
          <w:tcPr>
            <w:tcW w:w="2505" w:type="dxa"/>
          </w:tcPr>
          <w:p w14:paraId="7D32F4F1" w14:textId="77777777" w:rsidR="0076359B" w:rsidRPr="009D1AD3" w:rsidRDefault="0076359B" w:rsidP="007721C8">
            <w:pPr>
              <w:rPr>
                <w:rFonts w:ascii="Times New Roman" w:hAnsi="Times New Roman" w:cs="Times New Roman"/>
              </w:rPr>
            </w:pPr>
          </w:p>
        </w:tc>
      </w:tr>
      <w:tr w:rsidR="0076359B" w:rsidRPr="009D1AD3" w14:paraId="47566FE9" w14:textId="77777777" w:rsidTr="007721C8">
        <w:tc>
          <w:tcPr>
            <w:tcW w:w="5385" w:type="dxa"/>
            <w:vAlign w:val="bottom"/>
          </w:tcPr>
          <w:p w14:paraId="3F1B67ED" w14:textId="47A1C0D7" w:rsidR="0076359B" w:rsidRPr="009D1AD3" w:rsidRDefault="00E63FFE" w:rsidP="007721C8">
            <w:pPr>
              <w:rPr>
                <w:rFonts w:ascii="Times New Roman" w:hAnsi="Times New Roman" w:cs="Times New Roman"/>
              </w:rPr>
            </w:pPr>
            <w:r w:rsidRPr="009D1AD3">
              <w:rPr>
                <w:rFonts w:ascii="Times New Roman" w:eastAsia="Times New Roman" w:hAnsi="Times New Roman" w:cs="Times New Roman"/>
              </w:rPr>
              <w:t>Establish goals for their own professional growth</w:t>
            </w:r>
            <w:r w:rsidRPr="009D1AD3">
              <w:rPr>
                <w:rFonts w:ascii="Times New Roman" w:hAnsi="Times New Roman" w:cs="Times New Roman"/>
              </w:rPr>
              <w:t xml:space="preserve">; </w:t>
            </w:r>
            <w:r w:rsidRPr="009D1AD3">
              <w:rPr>
                <w:rFonts w:ascii="Times New Roman" w:eastAsia="Times New Roman" w:hAnsi="Times New Roman" w:cs="Times New Roman"/>
                <w:color w:val="000000"/>
              </w:rPr>
              <w:t>engage in self-assessment, goal setting, and reflection on their practice</w:t>
            </w:r>
          </w:p>
        </w:tc>
        <w:tc>
          <w:tcPr>
            <w:tcW w:w="2880" w:type="dxa"/>
          </w:tcPr>
          <w:p w14:paraId="196EB815" w14:textId="270BA044" w:rsidR="0076359B" w:rsidRPr="009D1AD3" w:rsidRDefault="0076359B" w:rsidP="007721C8">
            <w:pPr>
              <w:rPr>
                <w:rFonts w:ascii="Times New Roman" w:hAnsi="Times New Roman" w:cs="Times New Roman"/>
              </w:rPr>
            </w:pPr>
          </w:p>
        </w:tc>
        <w:tc>
          <w:tcPr>
            <w:tcW w:w="2505" w:type="dxa"/>
          </w:tcPr>
          <w:p w14:paraId="4798ADF5" w14:textId="33231D2D" w:rsidR="0076359B" w:rsidRPr="009D1AD3" w:rsidRDefault="00E4534E" w:rsidP="007721C8">
            <w:pPr>
              <w:rPr>
                <w:rFonts w:ascii="Times New Roman" w:hAnsi="Times New Roman" w:cs="Times New Roman"/>
              </w:rPr>
            </w:pPr>
            <w:r w:rsidRPr="009D1AD3">
              <w:rPr>
                <w:rFonts w:ascii="Times New Roman" w:hAnsi="Times New Roman" w:cs="Times New Roman"/>
              </w:rPr>
              <w:t>Did I miss this in the INSPIRE? Is there an evidence source on this?</w:t>
            </w:r>
          </w:p>
        </w:tc>
      </w:tr>
      <w:tr w:rsidR="0076359B" w:rsidRPr="009D1AD3" w14:paraId="225AC4EF" w14:textId="77777777" w:rsidTr="007721C8">
        <w:tc>
          <w:tcPr>
            <w:tcW w:w="5385" w:type="dxa"/>
            <w:vAlign w:val="bottom"/>
          </w:tcPr>
          <w:p w14:paraId="4020C6C7" w14:textId="77777777" w:rsidR="00E63FFE" w:rsidRPr="009D1AD3" w:rsidRDefault="00E63FFE" w:rsidP="007721C8">
            <w:pPr>
              <w:rPr>
                <w:rFonts w:ascii="Times New Roman" w:eastAsia="Times New Roman" w:hAnsi="Times New Roman" w:cs="Times New Roman"/>
              </w:rPr>
            </w:pPr>
          </w:p>
          <w:p w14:paraId="5A102AAA" w14:textId="68DB4CDE" w:rsidR="0076359B" w:rsidRPr="009D1AD3" w:rsidRDefault="00E63FFE" w:rsidP="007721C8">
            <w:pPr>
              <w:rPr>
                <w:rFonts w:ascii="Times New Roman" w:hAnsi="Times New Roman" w:cs="Times New Roman"/>
              </w:rPr>
            </w:pPr>
            <w:r w:rsidRPr="009D1AD3">
              <w:rPr>
                <w:rFonts w:ascii="Times New Roman" w:eastAsia="Times New Roman" w:hAnsi="Times New Roman" w:cs="Times New Roman"/>
              </w:rPr>
              <w:t>Collaborate with colleagues to support professional learning</w:t>
            </w:r>
          </w:p>
        </w:tc>
        <w:tc>
          <w:tcPr>
            <w:tcW w:w="2880" w:type="dxa"/>
          </w:tcPr>
          <w:p w14:paraId="3941A09D" w14:textId="3555BFC5" w:rsidR="0076359B" w:rsidRPr="009D1AD3" w:rsidRDefault="00E4534E" w:rsidP="007721C8">
            <w:pPr>
              <w:rPr>
                <w:rFonts w:ascii="Times New Roman" w:hAnsi="Times New Roman" w:cs="Times New Roman"/>
              </w:rPr>
            </w:pPr>
            <w:r w:rsidRPr="009D1AD3">
              <w:rPr>
                <w:rFonts w:ascii="Times New Roman" w:hAnsi="Times New Roman" w:cs="Times New Roman"/>
              </w:rPr>
              <w:t xml:space="preserve">Response is “very positive” in the </w:t>
            </w:r>
            <w:r w:rsidR="004E702F" w:rsidRPr="009D1AD3">
              <w:rPr>
                <w:rFonts w:ascii="Times New Roman" w:hAnsi="Times New Roman" w:cs="Times New Roman"/>
              </w:rPr>
              <w:t xml:space="preserve">focus group report. </w:t>
            </w:r>
            <w:r w:rsidR="004E702F" w:rsidRPr="009D1AD3">
              <w:rPr>
                <w:rFonts w:ascii="Times New Roman" w:hAnsi="Times New Roman" w:cs="Times New Roman"/>
              </w:rPr>
              <w:lastRenderedPageBreak/>
              <w:t>No detail provided. Was more said?</w:t>
            </w:r>
          </w:p>
        </w:tc>
        <w:tc>
          <w:tcPr>
            <w:tcW w:w="2505" w:type="dxa"/>
          </w:tcPr>
          <w:p w14:paraId="25BB6D3F" w14:textId="128E10EF" w:rsidR="0076359B" w:rsidRPr="009D1AD3" w:rsidRDefault="00E4534E" w:rsidP="007721C8">
            <w:pPr>
              <w:rPr>
                <w:rFonts w:ascii="Times New Roman" w:hAnsi="Times New Roman" w:cs="Times New Roman"/>
              </w:rPr>
            </w:pPr>
            <w:r w:rsidRPr="009D1AD3">
              <w:rPr>
                <w:rFonts w:ascii="Times New Roman" w:hAnsi="Times New Roman" w:cs="Times New Roman"/>
              </w:rPr>
              <w:lastRenderedPageBreak/>
              <w:t>Is collaboration required in courses?</w:t>
            </w:r>
          </w:p>
        </w:tc>
      </w:tr>
    </w:tbl>
    <w:p w14:paraId="0F41BD66" w14:textId="77777777" w:rsidR="0076359B" w:rsidRPr="009D1AD3" w:rsidRDefault="0076359B" w:rsidP="0076359B">
      <w:pPr>
        <w:rPr>
          <w:rFonts w:ascii="Times New Roman" w:eastAsia="Calibri" w:hAnsi="Times New Roman" w:cs="Times New Roman"/>
          <w:sz w:val="24"/>
          <w:szCs w:val="24"/>
        </w:rPr>
      </w:pPr>
    </w:p>
    <w:p w14:paraId="035F93BC" w14:textId="77777777" w:rsidR="00667862" w:rsidRPr="009D1AD3" w:rsidRDefault="00667862" w:rsidP="00667862">
      <w:pPr>
        <w:rPr>
          <w:rFonts w:ascii="Times New Roman" w:eastAsia="Calibri" w:hAnsi="Times New Roman" w:cs="Times New Roman"/>
          <w:sz w:val="24"/>
          <w:szCs w:val="24"/>
        </w:rPr>
      </w:pPr>
      <w:r w:rsidRPr="009D1AD3">
        <w:rPr>
          <w:rFonts w:ascii="Times New Roman" w:eastAsia="Calibri" w:hAnsi="Times New Roman" w:cs="Times New Roman"/>
          <w:sz w:val="24"/>
          <w:szCs w:val="24"/>
        </w:rPr>
        <w:br w:type="page"/>
      </w:r>
    </w:p>
    <w:p w14:paraId="224568F0" w14:textId="72EFBC24" w:rsidR="00CE404E" w:rsidRPr="009D1AD3" w:rsidRDefault="00CE404E" w:rsidP="00D4283C">
      <w:pPr>
        <w:rPr>
          <w:rFonts w:ascii="Times New Roman" w:eastAsia="Calibri" w:hAnsi="Times New Roman" w:cs="Times New Roman"/>
          <w:sz w:val="24"/>
          <w:szCs w:val="24"/>
        </w:rPr>
      </w:pPr>
      <w:r w:rsidRPr="009D1AD3">
        <w:rPr>
          <w:rFonts w:ascii="Times New Roman" w:eastAsia="Calibri" w:hAnsi="Times New Roman" w:cs="Times New Roman"/>
          <w:b/>
          <w:sz w:val="24"/>
          <w:szCs w:val="24"/>
          <w:u w:val="single"/>
        </w:rPr>
        <w:lastRenderedPageBreak/>
        <w:t>Standard 3: Quality Program Practices</w:t>
      </w:r>
    </w:p>
    <w:p w14:paraId="5BD788D7" w14:textId="77777777" w:rsidR="00CE404E" w:rsidRPr="009D1AD3" w:rsidRDefault="00CE404E" w:rsidP="00FD6359">
      <w:pPr>
        <w:spacing w:before="80" w:line="240" w:lineRule="auto"/>
        <w:rPr>
          <w:rFonts w:ascii="Times New Roman" w:eastAsia="Calibri" w:hAnsi="Times New Roman" w:cs="Times New Roman"/>
          <w:i/>
          <w:sz w:val="24"/>
          <w:szCs w:val="24"/>
        </w:rPr>
      </w:pPr>
      <w:r w:rsidRPr="009D1AD3">
        <w:rPr>
          <w:rFonts w:ascii="Times New Roman" w:eastAsia="Calibri" w:hAnsi="Times New Roman" w:cs="Times New Roman"/>
          <w:i/>
          <w:sz w:val="24"/>
          <w:szCs w:val="24"/>
        </w:rPr>
        <w:t>The program has the capacity to ensure that its completers meet standards 1 and 2.</w:t>
      </w:r>
    </w:p>
    <w:p w14:paraId="76A98F25" w14:textId="77777777" w:rsidR="00CE404E" w:rsidRPr="009D1AD3" w:rsidRDefault="00CE404E" w:rsidP="00FD6359">
      <w:pPr>
        <w:spacing w:before="80" w:line="240" w:lineRule="auto"/>
        <w:rPr>
          <w:rFonts w:ascii="Times New Roman" w:eastAsia="Calibri" w:hAnsi="Times New Roman" w:cs="Times New Roman"/>
          <w:sz w:val="24"/>
          <w:szCs w:val="24"/>
        </w:rPr>
      </w:pPr>
      <w:r w:rsidRPr="009D1AD3">
        <w:rPr>
          <w:rFonts w:ascii="Times New Roman" w:eastAsia="Calibri" w:hAnsi="Times New Roman" w:cs="Times New Roman"/>
          <w:sz w:val="24"/>
          <w:szCs w:val="24"/>
        </w:rPr>
        <w:t xml:space="preserve">Preparation programs ensure that candidates, upon completion, are ready to engage in professional practice, to adapt to a variety of professional settings, and to grow throughout their careers.  Effective program practices include: consistent offering of coherent curricula; high quality, diverse clinical experiences; dynamic, mutually-beneficial partnerships with stakeholders; and comprehensive and transparent quality assurance processes informed by trustworthy evidence. Each aspect of the program is appropriate to its context and to the credential or degree sought.  Evidence shows </w:t>
      </w:r>
      <w:r w:rsidR="00FD6359" w:rsidRPr="009D1AD3">
        <w:rPr>
          <w:rFonts w:ascii="Times New Roman" w:eastAsia="Calibri" w:hAnsi="Times New Roman" w:cs="Times New Roman"/>
          <w:sz w:val="24"/>
          <w:szCs w:val="24"/>
        </w:rPr>
        <w:t>the program:</w:t>
      </w:r>
    </w:p>
    <w:p w14:paraId="4F12249C" w14:textId="77777777" w:rsidR="00D4283C" w:rsidRPr="009D1AD3" w:rsidRDefault="00D4283C" w:rsidP="00D4283C">
      <w:pPr>
        <w:spacing w:before="80" w:line="240" w:lineRule="auto"/>
        <w:rPr>
          <w:rFonts w:ascii="Times New Roman" w:eastAsia="Calibri" w:hAnsi="Times New Roman" w:cs="Times New Roman"/>
          <w:i/>
          <w:sz w:val="24"/>
          <w:szCs w:val="24"/>
        </w:rPr>
      </w:pPr>
      <w:r w:rsidRPr="009D1AD3">
        <w:rPr>
          <w:rFonts w:ascii="Times New Roman" w:eastAsia="Calibri" w:hAnsi="Times New Roman" w:cs="Times New Roman"/>
          <w:i/>
          <w:sz w:val="24"/>
          <w:szCs w:val="24"/>
        </w:rPr>
        <w:t>All six aspects of this standard, included in the table below, must be addressed in the evidence set for the standard.</w:t>
      </w:r>
    </w:p>
    <w:p w14:paraId="60334867" w14:textId="328A09D3" w:rsidR="00CE404E" w:rsidRPr="009D1AD3" w:rsidRDefault="00CE404E" w:rsidP="00FD6359">
      <w:pPr>
        <w:pBdr>
          <w:top w:val="none" w:sz="0" w:space="0" w:color="000000"/>
          <w:left w:val="none" w:sz="0" w:space="0" w:color="000000"/>
          <w:bottom w:val="none" w:sz="0" w:space="0" w:color="000000"/>
          <w:right w:val="none" w:sz="0" w:space="0" w:color="000000"/>
          <w:between w:val="none" w:sz="0" w:space="0" w:color="000000"/>
        </w:pBdr>
        <w:spacing w:before="80" w:line="240" w:lineRule="auto"/>
        <w:rPr>
          <w:rFonts w:ascii="Times New Roman" w:eastAsia="Calibri" w:hAnsi="Times New Roman" w:cs="Times New Roman"/>
          <w:sz w:val="24"/>
          <w:szCs w:val="24"/>
        </w:rPr>
      </w:pPr>
      <w:r w:rsidRPr="009D1AD3">
        <w:rPr>
          <w:rFonts w:ascii="Times New Roman" w:eastAsia="Calibri" w:hAnsi="Times New Roman" w:cs="Times New Roman"/>
          <w:sz w:val="24"/>
          <w:szCs w:val="24"/>
        </w:rPr>
        <w:t>Evidence related to this standard will include documentation of program practices and resources as well as the program’s rationale for its structure and operation.</w:t>
      </w:r>
    </w:p>
    <w:p w14:paraId="67D39CD7" w14:textId="77777777" w:rsidR="0076359B" w:rsidRPr="009D1AD3" w:rsidRDefault="0076359B" w:rsidP="0076359B">
      <w:pPr>
        <w:rPr>
          <w:rFonts w:ascii="Times New Roman" w:eastAsia="Calibri" w:hAnsi="Times New Roman" w:cs="Times New Roman"/>
          <w:sz w:val="24"/>
          <w:szCs w:val="24"/>
        </w:rPr>
      </w:pPr>
    </w:p>
    <w:p w14:paraId="3C34E249" w14:textId="77777777" w:rsidR="0076359B" w:rsidRPr="009D1AD3" w:rsidRDefault="0076359B" w:rsidP="0076359B">
      <w:pPr>
        <w:rPr>
          <w:rFonts w:ascii="Times New Roman" w:eastAsia="Calibri" w:hAnsi="Times New Roman" w:cs="Times New Roman"/>
          <w:sz w:val="24"/>
          <w:szCs w:val="24"/>
        </w:rPr>
      </w:pPr>
      <w:r w:rsidRPr="009D1AD3">
        <w:rPr>
          <w:rFonts w:ascii="Times New Roman" w:eastAsia="Calibri" w:hAnsi="Times New Roman" w:cs="Times New Roman"/>
          <w:b/>
          <w:sz w:val="24"/>
          <w:szCs w:val="24"/>
        </w:rPr>
        <w:t>Does the evidence address each aspect of the standard?</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5"/>
        <w:gridCol w:w="2880"/>
        <w:gridCol w:w="2505"/>
      </w:tblGrid>
      <w:tr w:rsidR="00D4283C" w:rsidRPr="009D1AD3" w14:paraId="6D114B4C" w14:textId="77777777" w:rsidTr="007721C8">
        <w:tc>
          <w:tcPr>
            <w:tcW w:w="5385" w:type="dxa"/>
            <w:tcBorders>
              <w:bottom w:val="single" w:sz="12" w:space="0" w:color="auto"/>
            </w:tcBorders>
            <w:vAlign w:val="bottom"/>
          </w:tcPr>
          <w:p w14:paraId="49601ACD" w14:textId="7604FF92" w:rsidR="00D4283C" w:rsidRPr="009D1AD3" w:rsidRDefault="00D4283C" w:rsidP="007721C8">
            <w:pPr>
              <w:rPr>
                <w:rFonts w:ascii="Times New Roman" w:hAnsi="Times New Roman" w:cs="Times New Roman"/>
              </w:rPr>
            </w:pPr>
            <w:r w:rsidRPr="009D1AD3">
              <w:rPr>
                <w:rFonts w:ascii="Times New Roman" w:eastAsia="Times New Roman" w:hAnsi="Times New Roman" w:cs="Times New Roman"/>
                <w:b/>
                <w:bCs/>
              </w:rPr>
              <w:t xml:space="preserve">Aspects of Standard 3 </w:t>
            </w:r>
          </w:p>
        </w:tc>
        <w:tc>
          <w:tcPr>
            <w:tcW w:w="2880" w:type="dxa"/>
          </w:tcPr>
          <w:p w14:paraId="06F10B6F" w14:textId="77777777" w:rsidR="00D4283C" w:rsidRPr="009D1AD3" w:rsidRDefault="00D4283C" w:rsidP="007721C8">
            <w:pPr>
              <w:rPr>
                <w:rFonts w:ascii="Times New Roman" w:hAnsi="Times New Roman" w:cs="Times New Roman"/>
              </w:rPr>
            </w:pPr>
            <w:r w:rsidRPr="009D1AD3">
              <w:rPr>
                <w:rFonts w:ascii="Times New Roman" w:hAnsi="Times New Roman" w:cs="Times New Roman"/>
              </w:rPr>
              <w:t xml:space="preserve">Evidence of quality or capacity </w:t>
            </w:r>
          </w:p>
        </w:tc>
        <w:tc>
          <w:tcPr>
            <w:tcW w:w="2505" w:type="dxa"/>
          </w:tcPr>
          <w:p w14:paraId="68505672" w14:textId="77777777" w:rsidR="00D4283C" w:rsidRPr="009D1AD3" w:rsidRDefault="00D4283C" w:rsidP="007721C8">
            <w:pPr>
              <w:rPr>
                <w:rFonts w:ascii="Times New Roman" w:hAnsi="Times New Roman" w:cs="Times New Roman"/>
              </w:rPr>
            </w:pPr>
            <w:r w:rsidRPr="009D1AD3">
              <w:rPr>
                <w:rFonts w:ascii="Times New Roman" w:hAnsi="Times New Roman" w:cs="Times New Roman"/>
              </w:rPr>
              <w:t>Negative evidence or gap</w:t>
            </w:r>
          </w:p>
        </w:tc>
      </w:tr>
      <w:tr w:rsidR="00D4283C" w:rsidRPr="009D1AD3" w14:paraId="44B8ECAE" w14:textId="77777777" w:rsidTr="00D4283C">
        <w:trPr>
          <w:trHeight w:val="537"/>
        </w:trPr>
        <w:tc>
          <w:tcPr>
            <w:tcW w:w="5385" w:type="dxa"/>
            <w:vAlign w:val="bottom"/>
          </w:tcPr>
          <w:p w14:paraId="65FD670C" w14:textId="7E7FF4DA" w:rsidR="00D4283C" w:rsidRPr="009D1AD3" w:rsidRDefault="00D4283C" w:rsidP="007721C8">
            <w:pPr>
              <w:rPr>
                <w:rFonts w:ascii="Times New Roman" w:hAnsi="Times New Roman" w:cs="Times New Roman"/>
              </w:rPr>
            </w:pPr>
            <w:r w:rsidRPr="009D1AD3">
              <w:rPr>
                <w:rFonts w:ascii="Times New Roman" w:eastAsia="Calibri" w:hAnsi="Times New Roman" w:cs="Times New Roman"/>
              </w:rPr>
              <w:t>Offers coherent curricula with clear expectations that are aligned with state and national standards, as applicable</w:t>
            </w:r>
          </w:p>
        </w:tc>
        <w:tc>
          <w:tcPr>
            <w:tcW w:w="2880" w:type="dxa"/>
          </w:tcPr>
          <w:p w14:paraId="45672CC6" w14:textId="0C76A19F" w:rsidR="00D4283C" w:rsidRPr="009D1AD3" w:rsidRDefault="004E702F" w:rsidP="007721C8">
            <w:pPr>
              <w:rPr>
                <w:rFonts w:ascii="Times New Roman" w:hAnsi="Times New Roman" w:cs="Times New Roman"/>
              </w:rPr>
            </w:pPr>
            <w:r w:rsidRPr="009D1AD3">
              <w:rPr>
                <w:rFonts w:ascii="Times New Roman" w:hAnsi="Times New Roman" w:cs="Times New Roman"/>
              </w:rPr>
              <w:t>Clearly documented</w:t>
            </w:r>
          </w:p>
        </w:tc>
        <w:tc>
          <w:tcPr>
            <w:tcW w:w="2505" w:type="dxa"/>
          </w:tcPr>
          <w:p w14:paraId="222D739C" w14:textId="77777777" w:rsidR="00D4283C" w:rsidRPr="009D1AD3" w:rsidRDefault="00D4283C" w:rsidP="007721C8">
            <w:pPr>
              <w:rPr>
                <w:rFonts w:ascii="Times New Roman" w:hAnsi="Times New Roman" w:cs="Times New Roman"/>
              </w:rPr>
            </w:pPr>
          </w:p>
        </w:tc>
      </w:tr>
      <w:tr w:rsidR="00D4283C" w:rsidRPr="009D1AD3" w14:paraId="04BBE74C" w14:textId="77777777" w:rsidTr="007721C8">
        <w:trPr>
          <w:trHeight w:val="546"/>
        </w:trPr>
        <w:tc>
          <w:tcPr>
            <w:tcW w:w="5385" w:type="dxa"/>
            <w:vAlign w:val="bottom"/>
          </w:tcPr>
          <w:p w14:paraId="507A7620" w14:textId="6B7D7893" w:rsidR="00D4283C" w:rsidRPr="009D1AD3" w:rsidRDefault="00D4283C" w:rsidP="007721C8">
            <w:pPr>
              <w:rPr>
                <w:rFonts w:ascii="Times New Roman" w:hAnsi="Times New Roman" w:cs="Times New Roman"/>
              </w:rPr>
            </w:pPr>
            <w:r w:rsidRPr="009D1AD3">
              <w:rPr>
                <w:rFonts w:ascii="Times New Roman" w:eastAsia="Calibri" w:hAnsi="Times New Roman" w:cs="Times New Roman"/>
              </w:rPr>
              <w:t>Develops and implements quality clinical experiences, where appropriate, in the context of documented and effective partnerships with P12 schools and districts</w:t>
            </w:r>
          </w:p>
        </w:tc>
        <w:tc>
          <w:tcPr>
            <w:tcW w:w="2880" w:type="dxa"/>
          </w:tcPr>
          <w:p w14:paraId="051282CB" w14:textId="67EEBAEC" w:rsidR="00D4283C" w:rsidRPr="009D1AD3" w:rsidRDefault="004E702F" w:rsidP="007721C8">
            <w:pPr>
              <w:rPr>
                <w:rFonts w:ascii="Times New Roman" w:hAnsi="Times New Roman" w:cs="Times New Roman"/>
              </w:rPr>
            </w:pPr>
            <w:r w:rsidRPr="009D1AD3">
              <w:rPr>
                <w:rFonts w:ascii="Times New Roman" w:hAnsi="Times New Roman" w:cs="Times New Roman"/>
              </w:rPr>
              <w:t>Lots of detail on this</w:t>
            </w:r>
          </w:p>
        </w:tc>
        <w:tc>
          <w:tcPr>
            <w:tcW w:w="2505" w:type="dxa"/>
          </w:tcPr>
          <w:p w14:paraId="32305F11" w14:textId="77777777" w:rsidR="00D4283C" w:rsidRPr="009D1AD3" w:rsidRDefault="00D4283C" w:rsidP="007721C8">
            <w:pPr>
              <w:rPr>
                <w:rFonts w:ascii="Times New Roman" w:hAnsi="Times New Roman" w:cs="Times New Roman"/>
              </w:rPr>
            </w:pPr>
          </w:p>
        </w:tc>
      </w:tr>
      <w:tr w:rsidR="00D4283C" w:rsidRPr="009D1AD3" w14:paraId="21F99ADD" w14:textId="77777777" w:rsidTr="007721C8">
        <w:trPr>
          <w:trHeight w:val="546"/>
        </w:trPr>
        <w:tc>
          <w:tcPr>
            <w:tcW w:w="5385" w:type="dxa"/>
            <w:vAlign w:val="bottom"/>
          </w:tcPr>
          <w:p w14:paraId="4E0EF187" w14:textId="1509AC87" w:rsidR="00D4283C" w:rsidRPr="009D1AD3" w:rsidRDefault="00D4283C" w:rsidP="007721C8">
            <w:pPr>
              <w:rPr>
                <w:rFonts w:ascii="Times New Roman" w:hAnsi="Times New Roman" w:cs="Times New Roman"/>
              </w:rPr>
            </w:pPr>
            <w:r w:rsidRPr="009D1AD3">
              <w:rPr>
                <w:rFonts w:ascii="Times New Roman" w:eastAsia="Calibri" w:hAnsi="Times New Roman" w:cs="Times New Roman"/>
              </w:rPr>
              <w:t>Engages multiple stakeholders, including completers, local educators, schools and districts, in data collection, analysis, planning, improvement, and innovation</w:t>
            </w:r>
          </w:p>
        </w:tc>
        <w:tc>
          <w:tcPr>
            <w:tcW w:w="2880" w:type="dxa"/>
          </w:tcPr>
          <w:p w14:paraId="2E54B404" w14:textId="0BF90326" w:rsidR="00D4283C" w:rsidRPr="009D1AD3" w:rsidRDefault="00B57935" w:rsidP="00B57935">
            <w:pPr>
              <w:pStyle w:val="NormalWeb"/>
            </w:pPr>
            <w:r w:rsidRPr="009D1AD3">
              <w:t xml:space="preserve">In the past the program was concerned that the internships experienced by our students were not as consistent as they might be as they were dependent on the skill and commitment of the mentor principal. The Internship experiences list was developed with collaboration from a group of School Superintendents to ensure that the students were having a consistent experience. </w:t>
            </w:r>
          </w:p>
        </w:tc>
        <w:tc>
          <w:tcPr>
            <w:tcW w:w="2505" w:type="dxa"/>
          </w:tcPr>
          <w:p w14:paraId="028ACD7B" w14:textId="77777777" w:rsidR="00D4283C" w:rsidRPr="009D1AD3" w:rsidRDefault="00D4283C" w:rsidP="007721C8">
            <w:pPr>
              <w:rPr>
                <w:rFonts w:ascii="Times New Roman" w:hAnsi="Times New Roman" w:cs="Times New Roman"/>
              </w:rPr>
            </w:pPr>
          </w:p>
        </w:tc>
      </w:tr>
      <w:tr w:rsidR="00D4283C" w:rsidRPr="009D1AD3" w14:paraId="40171921" w14:textId="77777777" w:rsidTr="00D4283C">
        <w:trPr>
          <w:trHeight w:val="312"/>
        </w:trPr>
        <w:tc>
          <w:tcPr>
            <w:tcW w:w="5385" w:type="dxa"/>
            <w:vAlign w:val="bottom"/>
          </w:tcPr>
          <w:p w14:paraId="7FB6C615" w14:textId="76DF6FB6" w:rsidR="00D4283C" w:rsidRPr="009D1AD3" w:rsidRDefault="00D4283C" w:rsidP="007721C8">
            <w:pPr>
              <w:rPr>
                <w:rFonts w:ascii="Times New Roman" w:hAnsi="Times New Roman" w:cs="Times New Roman"/>
              </w:rPr>
            </w:pPr>
            <w:r w:rsidRPr="009D1AD3">
              <w:rPr>
                <w:rFonts w:ascii="Times New Roman" w:eastAsia="Calibri" w:hAnsi="Times New Roman" w:cs="Times New Roman"/>
              </w:rPr>
              <w:t>Enacts admission and monitoring processes linked to candidate success as part of a quality assurance system aligned to state requirements and professional standards</w:t>
            </w:r>
          </w:p>
        </w:tc>
        <w:tc>
          <w:tcPr>
            <w:tcW w:w="2880" w:type="dxa"/>
          </w:tcPr>
          <w:p w14:paraId="21DA1482" w14:textId="7763A07E" w:rsidR="00D4283C" w:rsidRPr="009D1AD3" w:rsidRDefault="004E702F" w:rsidP="007721C8">
            <w:pPr>
              <w:rPr>
                <w:rFonts w:ascii="Times New Roman" w:hAnsi="Times New Roman" w:cs="Times New Roman"/>
              </w:rPr>
            </w:pPr>
            <w:r w:rsidRPr="009D1AD3">
              <w:rPr>
                <w:rFonts w:ascii="Times New Roman" w:hAnsi="Times New Roman" w:cs="Times New Roman"/>
              </w:rPr>
              <w:t>Clear about the admissions process, less about monitoring (my hunch is nobody drops out, and outcomes of completers are good. I may have missed retention numbers, but adding that would be helpful</w:t>
            </w:r>
          </w:p>
        </w:tc>
        <w:tc>
          <w:tcPr>
            <w:tcW w:w="2505" w:type="dxa"/>
          </w:tcPr>
          <w:p w14:paraId="465182E3" w14:textId="77777777" w:rsidR="00D4283C" w:rsidRPr="009D1AD3" w:rsidRDefault="00D4283C" w:rsidP="007721C8">
            <w:pPr>
              <w:rPr>
                <w:rFonts w:ascii="Times New Roman" w:hAnsi="Times New Roman" w:cs="Times New Roman"/>
              </w:rPr>
            </w:pPr>
          </w:p>
        </w:tc>
      </w:tr>
      <w:tr w:rsidR="00D4283C" w:rsidRPr="009D1AD3" w14:paraId="079FC971" w14:textId="77777777" w:rsidTr="007721C8">
        <w:tc>
          <w:tcPr>
            <w:tcW w:w="5385" w:type="dxa"/>
            <w:vAlign w:val="bottom"/>
          </w:tcPr>
          <w:p w14:paraId="512BD896" w14:textId="2EC6BC59" w:rsidR="00D4283C" w:rsidRPr="009D1AD3" w:rsidRDefault="00D4283C" w:rsidP="007721C8">
            <w:pPr>
              <w:rPr>
                <w:rFonts w:ascii="Times New Roman" w:hAnsi="Times New Roman" w:cs="Times New Roman"/>
              </w:rPr>
            </w:pPr>
            <w:r w:rsidRPr="009D1AD3">
              <w:rPr>
                <w:rFonts w:ascii="Times New Roman" w:eastAsia="Calibri" w:hAnsi="Times New Roman" w:cs="Times New Roman"/>
              </w:rPr>
              <w:lastRenderedPageBreak/>
              <w:t>Engages in continuous improvement of programs and program components, and investigates opportunities for innovation, through an effective quality assurance system</w:t>
            </w:r>
          </w:p>
        </w:tc>
        <w:tc>
          <w:tcPr>
            <w:tcW w:w="2880" w:type="dxa"/>
          </w:tcPr>
          <w:p w14:paraId="7931F942" w14:textId="1545F554" w:rsidR="007F6146" w:rsidRPr="009D1AD3" w:rsidRDefault="004E702F" w:rsidP="007F6146">
            <w:pPr>
              <w:pStyle w:val="NormalWeb"/>
            </w:pPr>
            <w:r w:rsidRPr="009D1AD3">
              <w:t>“</w:t>
            </w:r>
            <w:r w:rsidR="007F6146" w:rsidRPr="009D1AD3">
              <w:t xml:space="preserve">The core Instructional Leadership faculty group consists of five full-time faculty supplemented with a small group of adjunct faculty with credentials specific to the courses they teach (School Law, School Finance and Resource Management). The core faculty meets together monthly during the academic year and periodically during the summer to consider candidates for admission, address potential program changes, and collaborate on research and program development projects </w:t>
            </w:r>
          </w:p>
          <w:p w14:paraId="1A20C4EA" w14:textId="6735B310" w:rsidR="00D4283C" w:rsidRPr="009D1AD3" w:rsidRDefault="00B57935" w:rsidP="00B57935">
            <w:pPr>
              <w:pStyle w:val="NormalWeb"/>
            </w:pPr>
            <w:r w:rsidRPr="009D1AD3">
              <w:t xml:space="preserve">In the past the program was concerned that the internships experienced by our students were not as consistent as they might be as they were dependent on the skill and commitment of the mentor principal. The Internship experiences list was developed with collaboration from a group of School Superintendents to ensure that the students were having a consistent experience. </w:t>
            </w:r>
            <w:r w:rsidR="004E702F" w:rsidRPr="009D1AD3">
              <w:t>“</w:t>
            </w:r>
          </w:p>
        </w:tc>
        <w:tc>
          <w:tcPr>
            <w:tcW w:w="2505" w:type="dxa"/>
          </w:tcPr>
          <w:p w14:paraId="762F175A" w14:textId="77777777" w:rsidR="00D4283C" w:rsidRPr="009D1AD3" w:rsidRDefault="00D4283C" w:rsidP="007721C8">
            <w:pPr>
              <w:rPr>
                <w:rFonts w:ascii="Times New Roman" w:hAnsi="Times New Roman" w:cs="Times New Roman"/>
              </w:rPr>
            </w:pPr>
          </w:p>
        </w:tc>
      </w:tr>
      <w:tr w:rsidR="00D4283C" w:rsidRPr="009D1AD3" w14:paraId="30C75DA9" w14:textId="77777777" w:rsidTr="007721C8">
        <w:tc>
          <w:tcPr>
            <w:tcW w:w="5385" w:type="dxa"/>
            <w:vAlign w:val="bottom"/>
          </w:tcPr>
          <w:p w14:paraId="17FF9D57" w14:textId="68836EFF" w:rsidR="00D4283C" w:rsidRPr="009D1AD3" w:rsidRDefault="00D4283C" w:rsidP="007721C8">
            <w:pPr>
              <w:rPr>
                <w:rFonts w:ascii="Times New Roman" w:hAnsi="Times New Roman" w:cs="Times New Roman"/>
              </w:rPr>
            </w:pPr>
            <w:r w:rsidRPr="009D1AD3">
              <w:rPr>
                <w:rFonts w:ascii="Times New Roman" w:eastAsia="Calibri" w:hAnsi="Times New Roman" w:cs="Times New Roman"/>
              </w:rPr>
              <w:t>Maintains capacity for quality reflected in staffing, resources, operational processes, and institutional commitment</w:t>
            </w:r>
          </w:p>
        </w:tc>
        <w:tc>
          <w:tcPr>
            <w:tcW w:w="2880" w:type="dxa"/>
          </w:tcPr>
          <w:p w14:paraId="37ED4CF7" w14:textId="1647C93D" w:rsidR="00F746A9" w:rsidRPr="009D1AD3" w:rsidRDefault="00F746A9" w:rsidP="00F746A9">
            <w:pPr>
              <w:pStyle w:val="NormalWeb"/>
            </w:pPr>
            <w:r w:rsidRPr="009D1AD3">
              <w:t xml:space="preserve">Four highly qualified practitioners teach courses in the program as adjunct faculty in their areas of specialization. </w:t>
            </w:r>
            <w:r w:rsidR="004B749D" w:rsidRPr="009D1AD3">
              <w:t xml:space="preserve"> Nice touches on the evidence on faculty.</w:t>
            </w:r>
          </w:p>
          <w:p w14:paraId="4443C94E" w14:textId="77777777" w:rsidR="00D4283C" w:rsidRPr="009D1AD3" w:rsidRDefault="00D4283C" w:rsidP="007721C8">
            <w:pPr>
              <w:rPr>
                <w:rFonts w:ascii="Times New Roman" w:hAnsi="Times New Roman" w:cs="Times New Roman"/>
              </w:rPr>
            </w:pPr>
          </w:p>
        </w:tc>
        <w:tc>
          <w:tcPr>
            <w:tcW w:w="2505" w:type="dxa"/>
          </w:tcPr>
          <w:p w14:paraId="778E7FBD" w14:textId="203A1E89" w:rsidR="00D4283C" w:rsidRPr="009D1AD3" w:rsidRDefault="004B749D" w:rsidP="007721C8">
            <w:pPr>
              <w:rPr>
                <w:rFonts w:ascii="Times New Roman" w:hAnsi="Times New Roman" w:cs="Times New Roman"/>
              </w:rPr>
            </w:pPr>
            <w:r w:rsidRPr="009D1AD3">
              <w:rPr>
                <w:rFonts w:ascii="Times New Roman" w:hAnsi="Times New Roman" w:cs="Times New Roman"/>
              </w:rPr>
              <w:t>Is there information on fiscal resources and any comparison to other programs on campus?</w:t>
            </w:r>
          </w:p>
        </w:tc>
      </w:tr>
    </w:tbl>
    <w:p w14:paraId="4F47744D" w14:textId="77777777" w:rsidR="0076359B" w:rsidRPr="009D1AD3" w:rsidRDefault="0076359B" w:rsidP="0076359B">
      <w:pPr>
        <w:rPr>
          <w:rFonts w:ascii="Times New Roman" w:eastAsia="Calibri" w:hAnsi="Times New Roman" w:cs="Times New Roman"/>
          <w:sz w:val="24"/>
          <w:szCs w:val="24"/>
        </w:rPr>
      </w:pPr>
    </w:p>
    <w:p w14:paraId="4337474E" w14:textId="1965624F" w:rsidR="00CE404E" w:rsidRPr="009D1AD3" w:rsidRDefault="0076359B" w:rsidP="00667862">
      <w:pPr>
        <w:rPr>
          <w:rFonts w:ascii="Times New Roman" w:eastAsia="Calibri" w:hAnsi="Times New Roman" w:cs="Times New Roman"/>
          <w:sz w:val="24"/>
          <w:szCs w:val="24"/>
        </w:rPr>
      </w:pPr>
      <w:r w:rsidRPr="009D1AD3">
        <w:rPr>
          <w:rFonts w:ascii="Times New Roman" w:eastAsia="Calibri" w:hAnsi="Times New Roman" w:cs="Times New Roman"/>
          <w:sz w:val="24"/>
          <w:szCs w:val="24"/>
        </w:rPr>
        <w:br w:type="page"/>
      </w:r>
      <w:r w:rsidR="00CE404E" w:rsidRPr="009D1AD3">
        <w:rPr>
          <w:rFonts w:ascii="Times New Roman" w:eastAsia="Calibri" w:hAnsi="Times New Roman" w:cs="Times New Roman"/>
          <w:b/>
          <w:sz w:val="24"/>
          <w:szCs w:val="24"/>
          <w:u w:val="single"/>
        </w:rPr>
        <w:lastRenderedPageBreak/>
        <w:t>Standard 4: Program Engagement in System Improvement</w:t>
      </w:r>
    </w:p>
    <w:p w14:paraId="3AB74FA2" w14:textId="5AA4F738" w:rsidR="00CE404E" w:rsidRPr="009D1AD3" w:rsidRDefault="00CE404E" w:rsidP="00FD6359">
      <w:pPr>
        <w:spacing w:before="80" w:line="240" w:lineRule="auto"/>
        <w:rPr>
          <w:rFonts w:ascii="Times New Roman" w:eastAsia="Calibri" w:hAnsi="Times New Roman" w:cs="Times New Roman"/>
          <w:i/>
          <w:sz w:val="24"/>
          <w:szCs w:val="24"/>
        </w:rPr>
      </w:pPr>
      <w:r w:rsidRPr="009D1AD3">
        <w:rPr>
          <w:rFonts w:ascii="Times New Roman" w:eastAsia="Calibri" w:hAnsi="Times New Roman" w:cs="Times New Roman"/>
          <w:i/>
          <w:sz w:val="24"/>
          <w:szCs w:val="24"/>
        </w:rPr>
        <w:t>Program practices strengthen the P20 education</w:t>
      </w:r>
      <w:r w:rsidR="00FB2C34" w:rsidRPr="009D1AD3">
        <w:rPr>
          <w:rFonts w:ascii="Times New Roman" w:eastAsia="Calibri" w:hAnsi="Times New Roman" w:cs="Times New Roman"/>
          <w:i/>
          <w:sz w:val="24"/>
          <w:szCs w:val="24"/>
        </w:rPr>
        <w:t xml:space="preserve"> system in light of local needs, </w:t>
      </w:r>
      <w:r w:rsidRPr="009D1AD3">
        <w:rPr>
          <w:rFonts w:ascii="Times New Roman" w:eastAsia="Calibri" w:hAnsi="Times New Roman" w:cs="Times New Roman"/>
          <w:i/>
          <w:sz w:val="24"/>
          <w:szCs w:val="24"/>
        </w:rPr>
        <w:t>in keeping with the program’s mission.</w:t>
      </w:r>
    </w:p>
    <w:p w14:paraId="2576BA97" w14:textId="77777777" w:rsidR="00CE404E" w:rsidRPr="009D1AD3" w:rsidRDefault="00CE404E" w:rsidP="00FD6359">
      <w:pPr>
        <w:spacing w:before="80" w:line="240" w:lineRule="auto"/>
        <w:rPr>
          <w:rFonts w:ascii="Times New Roman" w:eastAsia="Calibri" w:hAnsi="Times New Roman" w:cs="Times New Roman"/>
          <w:sz w:val="24"/>
          <w:szCs w:val="24"/>
        </w:rPr>
      </w:pPr>
      <w:r w:rsidRPr="009D1AD3">
        <w:rPr>
          <w:rFonts w:ascii="Times New Roman" w:eastAsia="Calibri" w:hAnsi="Times New Roman" w:cs="Times New Roman"/>
          <w:sz w:val="24"/>
          <w:szCs w:val="24"/>
        </w:rPr>
        <w:t>The program is committed to and invests in strengthening and improving the education profession and the P20 education system. Each program’s context (or multiple contexts) provides particular opportunities to engage the field’s shared challenges and to foster and support innovation. Engagement with critical issues is essential and must be contextualized.  Sharing results of contextualized engagement and innovation support the field’s collective effort to address education’s most pressing challenges through improvement and innovation.  The program provides evidence</w:t>
      </w:r>
      <w:r w:rsidRPr="009D1AD3">
        <w:rPr>
          <w:rFonts w:ascii="Times New Roman" w:eastAsia="Calibri" w:hAnsi="Times New Roman" w:cs="Times New Roman"/>
          <w:b/>
          <w:sz w:val="24"/>
          <w:szCs w:val="24"/>
          <w:vertAlign w:val="superscript"/>
        </w:rPr>
        <w:t xml:space="preserve"> </w:t>
      </w:r>
      <w:r w:rsidR="00FD6359" w:rsidRPr="009D1AD3">
        <w:rPr>
          <w:rFonts w:ascii="Times New Roman" w:eastAsia="Calibri" w:hAnsi="Times New Roman" w:cs="Times New Roman"/>
          <w:sz w:val="24"/>
          <w:szCs w:val="24"/>
        </w:rPr>
        <w:t>that it:</w:t>
      </w:r>
    </w:p>
    <w:p w14:paraId="07A651E2" w14:textId="2562308C" w:rsidR="00FB2C34" w:rsidRPr="009D1AD3" w:rsidRDefault="00FB2C34" w:rsidP="00FB2C34">
      <w:pPr>
        <w:spacing w:before="80" w:line="240" w:lineRule="auto"/>
        <w:rPr>
          <w:rFonts w:ascii="Times New Roman" w:eastAsia="Calibri" w:hAnsi="Times New Roman" w:cs="Times New Roman"/>
          <w:i/>
          <w:sz w:val="24"/>
          <w:szCs w:val="24"/>
        </w:rPr>
      </w:pPr>
      <w:r w:rsidRPr="009D1AD3">
        <w:rPr>
          <w:rFonts w:ascii="Times New Roman" w:eastAsia="Calibri" w:hAnsi="Times New Roman" w:cs="Times New Roman"/>
          <w:i/>
          <w:sz w:val="24"/>
          <w:szCs w:val="24"/>
        </w:rPr>
        <w:t>All six aspects of this standard, included in the table below, must be addressed in the evidence set for the standard.</w:t>
      </w:r>
    </w:p>
    <w:p w14:paraId="100B6536" w14:textId="3AD49008" w:rsidR="0076359B" w:rsidRPr="009D1AD3" w:rsidRDefault="00CE404E" w:rsidP="00FB2C34">
      <w:pPr>
        <w:spacing w:before="80" w:line="240" w:lineRule="auto"/>
        <w:rPr>
          <w:rFonts w:ascii="Times New Roman" w:eastAsia="Calibri" w:hAnsi="Times New Roman" w:cs="Times New Roman"/>
          <w:sz w:val="24"/>
          <w:szCs w:val="24"/>
        </w:rPr>
      </w:pPr>
      <w:r w:rsidRPr="009D1AD3">
        <w:rPr>
          <w:rFonts w:ascii="Times New Roman" w:eastAsia="Calibri" w:hAnsi="Times New Roman" w:cs="Times New Roman"/>
          <w:sz w:val="24"/>
          <w:szCs w:val="24"/>
        </w:rPr>
        <w:t xml:space="preserve">Evidence for this standard addresses identified issues in light of local and institutional context. </w:t>
      </w:r>
    </w:p>
    <w:p w14:paraId="6494C849" w14:textId="77777777" w:rsidR="00FB2C34" w:rsidRPr="009D1AD3" w:rsidRDefault="00FB2C34" w:rsidP="00FB2C34">
      <w:pPr>
        <w:spacing w:before="80" w:line="240" w:lineRule="auto"/>
        <w:rPr>
          <w:rFonts w:ascii="Times New Roman" w:eastAsia="Calibri" w:hAnsi="Times New Roman" w:cs="Times New Roman"/>
          <w:sz w:val="24"/>
          <w:szCs w:val="24"/>
        </w:rPr>
      </w:pPr>
    </w:p>
    <w:p w14:paraId="20367BDF" w14:textId="77777777" w:rsidR="0076359B" w:rsidRPr="009D1AD3" w:rsidRDefault="0076359B" w:rsidP="0076359B">
      <w:pPr>
        <w:rPr>
          <w:rFonts w:ascii="Times New Roman" w:eastAsia="Calibri" w:hAnsi="Times New Roman" w:cs="Times New Roman"/>
          <w:sz w:val="24"/>
          <w:szCs w:val="24"/>
        </w:rPr>
      </w:pPr>
      <w:r w:rsidRPr="009D1AD3">
        <w:rPr>
          <w:rFonts w:ascii="Times New Roman" w:eastAsia="Calibri" w:hAnsi="Times New Roman" w:cs="Times New Roman"/>
          <w:b/>
          <w:sz w:val="24"/>
          <w:szCs w:val="24"/>
        </w:rPr>
        <w:t>Does the evidence address each aspect of the standard?</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5"/>
        <w:gridCol w:w="2880"/>
        <w:gridCol w:w="2505"/>
      </w:tblGrid>
      <w:tr w:rsidR="00FB2C34" w:rsidRPr="009D1AD3" w14:paraId="3A62371A" w14:textId="77777777" w:rsidTr="007721C8">
        <w:tc>
          <w:tcPr>
            <w:tcW w:w="5385" w:type="dxa"/>
            <w:tcBorders>
              <w:bottom w:val="single" w:sz="12" w:space="0" w:color="auto"/>
            </w:tcBorders>
            <w:vAlign w:val="bottom"/>
          </w:tcPr>
          <w:p w14:paraId="5C285046" w14:textId="1AA48951" w:rsidR="00FB2C34" w:rsidRPr="009D1AD3" w:rsidRDefault="00FB2C34" w:rsidP="007721C8">
            <w:pPr>
              <w:rPr>
                <w:rFonts w:ascii="Times New Roman" w:hAnsi="Times New Roman" w:cs="Times New Roman"/>
              </w:rPr>
            </w:pPr>
            <w:r w:rsidRPr="009D1AD3">
              <w:rPr>
                <w:rFonts w:ascii="Times New Roman" w:eastAsia="Times New Roman" w:hAnsi="Times New Roman" w:cs="Times New Roman"/>
                <w:b/>
                <w:bCs/>
              </w:rPr>
              <w:t>Aspects of Standard 4</w:t>
            </w:r>
          </w:p>
        </w:tc>
        <w:tc>
          <w:tcPr>
            <w:tcW w:w="2880" w:type="dxa"/>
          </w:tcPr>
          <w:p w14:paraId="119C6E17" w14:textId="77777777" w:rsidR="00FB2C34" w:rsidRPr="009D1AD3" w:rsidRDefault="00FB2C34" w:rsidP="007721C8">
            <w:pPr>
              <w:rPr>
                <w:rFonts w:ascii="Times New Roman" w:hAnsi="Times New Roman" w:cs="Times New Roman"/>
              </w:rPr>
            </w:pPr>
            <w:r w:rsidRPr="009D1AD3">
              <w:rPr>
                <w:rFonts w:ascii="Times New Roman" w:hAnsi="Times New Roman" w:cs="Times New Roman"/>
              </w:rPr>
              <w:t xml:space="preserve">Evidence of quality or capacity </w:t>
            </w:r>
          </w:p>
        </w:tc>
        <w:tc>
          <w:tcPr>
            <w:tcW w:w="2505" w:type="dxa"/>
          </w:tcPr>
          <w:p w14:paraId="393827F8" w14:textId="77777777" w:rsidR="00FB2C34" w:rsidRPr="009D1AD3" w:rsidRDefault="00FB2C34" w:rsidP="007721C8">
            <w:pPr>
              <w:rPr>
                <w:rFonts w:ascii="Times New Roman" w:hAnsi="Times New Roman" w:cs="Times New Roman"/>
              </w:rPr>
            </w:pPr>
            <w:r w:rsidRPr="009D1AD3">
              <w:rPr>
                <w:rFonts w:ascii="Times New Roman" w:hAnsi="Times New Roman" w:cs="Times New Roman"/>
              </w:rPr>
              <w:t>Negative evidence or gap</w:t>
            </w:r>
          </w:p>
        </w:tc>
      </w:tr>
      <w:tr w:rsidR="00FB2C34" w:rsidRPr="009D1AD3" w14:paraId="5B3A7C0A" w14:textId="77777777" w:rsidTr="007721C8">
        <w:trPr>
          <w:trHeight w:val="537"/>
        </w:trPr>
        <w:tc>
          <w:tcPr>
            <w:tcW w:w="5385" w:type="dxa"/>
            <w:vAlign w:val="bottom"/>
          </w:tcPr>
          <w:p w14:paraId="64E8AA66" w14:textId="4D2C6AD4" w:rsidR="00FB2C34" w:rsidRPr="009D1AD3" w:rsidRDefault="00FB2C34" w:rsidP="007721C8">
            <w:pPr>
              <w:rPr>
                <w:rFonts w:ascii="Times New Roman" w:hAnsi="Times New Roman" w:cs="Times New Roman"/>
              </w:rPr>
            </w:pPr>
            <w:r w:rsidRPr="009D1AD3">
              <w:rPr>
                <w:rFonts w:ascii="Times New Roman" w:eastAsia="Calibri" w:hAnsi="Times New Roman" w:cs="Times New Roman"/>
              </w:rPr>
              <w:t>Engages with local partners and stakeholders to support high-needs schools and participates in efforts to reduce disparities in educational outcomes</w:t>
            </w:r>
          </w:p>
        </w:tc>
        <w:tc>
          <w:tcPr>
            <w:tcW w:w="2880" w:type="dxa"/>
          </w:tcPr>
          <w:p w14:paraId="4CDDEF9C" w14:textId="57DEEF59" w:rsidR="00FB2C34" w:rsidRPr="009D1AD3" w:rsidRDefault="00A011F9" w:rsidP="00A011F9">
            <w:pPr>
              <w:pStyle w:val="NormalWeb"/>
            </w:pPr>
            <w:r w:rsidRPr="009D1AD3">
              <w:t xml:space="preserve">Mission: We acknowledge and appreciate the complex contexts that shape our work, and we are committed to furthering the cause of equitable educational opportunity for all students. We aim to prepare students for informed and influential participation in local and global communities. </w:t>
            </w:r>
          </w:p>
        </w:tc>
        <w:tc>
          <w:tcPr>
            <w:tcW w:w="2505" w:type="dxa"/>
          </w:tcPr>
          <w:p w14:paraId="793E045E" w14:textId="77777777" w:rsidR="00FB2C34" w:rsidRPr="009D1AD3" w:rsidRDefault="00FB2C34" w:rsidP="007721C8">
            <w:pPr>
              <w:rPr>
                <w:rFonts w:ascii="Times New Roman" w:hAnsi="Times New Roman" w:cs="Times New Roman"/>
              </w:rPr>
            </w:pPr>
          </w:p>
        </w:tc>
      </w:tr>
      <w:tr w:rsidR="00FB2C34" w:rsidRPr="009D1AD3" w14:paraId="1F0E8871" w14:textId="77777777" w:rsidTr="007721C8">
        <w:trPr>
          <w:trHeight w:val="546"/>
        </w:trPr>
        <w:tc>
          <w:tcPr>
            <w:tcW w:w="5385" w:type="dxa"/>
            <w:vAlign w:val="bottom"/>
          </w:tcPr>
          <w:p w14:paraId="6DB56911" w14:textId="1BFC8906" w:rsidR="00FB2C34" w:rsidRPr="009D1AD3" w:rsidRDefault="00FB2C34" w:rsidP="007721C8">
            <w:pPr>
              <w:rPr>
                <w:rFonts w:ascii="Times New Roman" w:hAnsi="Times New Roman" w:cs="Times New Roman"/>
              </w:rPr>
            </w:pPr>
            <w:r w:rsidRPr="009D1AD3">
              <w:rPr>
                <w:rFonts w:ascii="Times New Roman" w:eastAsia="Calibri" w:hAnsi="Times New Roman" w:cs="Times New Roman"/>
              </w:rPr>
              <w:t>Seeks to meet state and local educator workforce needs and to diversify participation in the educator workforce through candidate recruitment and support</w:t>
            </w:r>
          </w:p>
        </w:tc>
        <w:tc>
          <w:tcPr>
            <w:tcW w:w="2880" w:type="dxa"/>
          </w:tcPr>
          <w:p w14:paraId="14358188" w14:textId="77777777" w:rsidR="007F6146" w:rsidRPr="009D1AD3" w:rsidRDefault="00FA560B" w:rsidP="007F6146">
            <w:pPr>
              <w:pStyle w:val="NormalWeb"/>
            </w:pPr>
            <w:r w:rsidRPr="009D1AD3">
              <w:t xml:space="preserve">The program has been known for increasing access to administrative licensure throughout Utah by the use of distance education technologies. </w:t>
            </w:r>
          </w:p>
          <w:p w14:paraId="521267BD" w14:textId="2F881FB7" w:rsidR="007F6146" w:rsidRPr="009D1AD3" w:rsidRDefault="007F6146" w:rsidP="007F6146">
            <w:pPr>
              <w:pStyle w:val="NormalWeb"/>
            </w:pPr>
            <w:r w:rsidRPr="009D1AD3">
              <w:t xml:space="preserve">Summer courses are offered in a Hybrid model over seven weeks, including one week at the USU Brigham City Campus meeting four hours each day. The remaining six weeks provide online interaction and WebEx course meetings. The summer program has remained popular because of the </w:t>
            </w:r>
            <w:r w:rsidRPr="009D1AD3">
              <w:lastRenderedPageBreak/>
              <w:t xml:space="preserve">cohort feel that the students gain from meeting in a common location. </w:t>
            </w:r>
          </w:p>
          <w:p w14:paraId="638C9E6B" w14:textId="16FDC68E" w:rsidR="007F6146" w:rsidRPr="009D1AD3" w:rsidRDefault="007F6146" w:rsidP="00FA560B">
            <w:pPr>
              <w:pStyle w:val="NormalWeb"/>
            </w:pPr>
          </w:p>
        </w:tc>
        <w:tc>
          <w:tcPr>
            <w:tcW w:w="2505" w:type="dxa"/>
          </w:tcPr>
          <w:p w14:paraId="24A668C8" w14:textId="77777777" w:rsidR="00FB2C34" w:rsidRPr="009D1AD3" w:rsidRDefault="00FB2C34" w:rsidP="007721C8">
            <w:pPr>
              <w:rPr>
                <w:rFonts w:ascii="Times New Roman" w:hAnsi="Times New Roman" w:cs="Times New Roman"/>
              </w:rPr>
            </w:pPr>
          </w:p>
        </w:tc>
      </w:tr>
      <w:tr w:rsidR="00FB2C34" w:rsidRPr="009D1AD3" w14:paraId="155EC988" w14:textId="77777777" w:rsidTr="007721C8">
        <w:trPr>
          <w:trHeight w:val="546"/>
        </w:trPr>
        <w:tc>
          <w:tcPr>
            <w:tcW w:w="5385" w:type="dxa"/>
            <w:vAlign w:val="bottom"/>
          </w:tcPr>
          <w:p w14:paraId="0B950AFB" w14:textId="401DDFC1" w:rsidR="00FB2C34" w:rsidRPr="009D1AD3" w:rsidRDefault="00FB2C34" w:rsidP="007721C8">
            <w:pPr>
              <w:rPr>
                <w:rFonts w:ascii="Times New Roman" w:hAnsi="Times New Roman" w:cs="Times New Roman"/>
              </w:rPr>
            </w:pPr>
            <w:r w:rsidRPr="009D1AD3">
              <w:rPr>
                <w:rFonts w:ascii="Times New Roman" w:eastAsia="Calibri" w:hAnsi="Times New Roman" w:cs="Times New Roman"/>
              </w:rPr>
              <w:t>Supports completer entry into and/or continuation in their professional role, as appropriate to the credential or degree being earned</w:t>
            </w:r>
          </w:p>
        </w:tc>
        <w:tc>
          <w:tcPr>
            <w:tcW w:w="2880" w:type="dxa"/>
          </w:tcPr>
          <w:p w14:paraId="6FD2EDF0" w14:textId="68C3E4BD" w:rsidR="00FB2C34" w:rsidRPr="009D1AD3" w:rsidRDefault="004E702F" w:rsidP="007721C8">
            <w:pPr>
              <w:rPr>
                <w:rFonts w:ascii="Times New Roman" w:hAnsi="Times New Roman" w:cs="Times New Roman"/>
              </w:rPr>
            </w:pPr>
            <w:r w:rsidRPr="009D1AD3">
              <w:rPr>
                <w:rFonts w:ascii="Times New Roman" w:hAnsi="Times New Roman" w:cs="Times New Roman"/>
              </w:rPr>
              <w:t>Focus group data positive</w:t>
            </w:r>
          </w:p>
        </w:tc>
        <w:tc>
          <w:tcPr>
            <w:tcW w:w="2505" w:type="dxa"/>
          </w:tcPr>
          <w:p w14:paraId="09FEF738" w14:textId="77777777" w:rsidR="00FB2C34" w:rsidRPr="009D1AD3" w:rsidRDefault="00FB2C34" w:rsidP="007721C8">
            <w:pPr>
              <w:rPr>
                <w:rFonts w:ascii="Times New Roman" w:hAnsi="Times New Roman" w:cs="Times New Roman"/>
              </w:rPr>
            </w:pPr>
          </w:p>
        </w:tc>
      </w:tr>
      <w:tr w:rsidR="00FB2C34" w:rsidRPr="009D1AD3" w14:paraId="76EB7841" w14:textId="77777777" w:rsidTr="007721C8">
        <w:trPr>
          <w:trHeight w:val="312"/>
        </w:trPr>
        <w:tc>
          <w:tcPr>
            <w:tcW w:w="5385" w:type="dxa"/>
            <w:vAlign w:val="bottom"/>
          </w:tcPr>
          <w:p w14:paraId="706623FF" w14:textId="38FE68C5" w:rsidR="00FB2C34" w:rsidRPr="009D1AD3" w:rsidRDefault="00FB2C34" w:rsidP="007721C8">
            <w:pPr>
              <w:rPr>
                <w:rFonts w:ascii="Times New Roman" w:hAnsi="Times New Roman" w:cs="Times New Roman"/>
              </w:rPr>
            </w:pPr>
            <w:r w:rsidRPr="009D1AD3">
              <w:rPr>
                <w:rFonts w:ascii="Times New Roman" w:eastAsia="Calibri" w:hAnsi="Times New Roman" w:cs="Times New Roman"/>
              </w:rPr>
              <w:t>Investigates available, trustworthy evidence regarding completer placement, effectiveness, &amp; retention in the profession; uses that information to improve programs</w:t>
            </w:r>
          </w:p>
        </w:tc>
        <w:tc>
          <w:tcPr>
            <w:tcW w:w="2880" w:type="dxa"/>
          </w:tcPr>
          <w:p w14:paraId="197FD351" w14:textId="0256BADF" w:rsidR="00FB2C34" w:rsidRPr="009D1AD3" w:rsidRDefault="004E702F" w:rsidP="007721C8">
            <w:pPr>
              <w:rPr>
                <w:rFonts w:ascii="Times New Roman" w:hAnsi="Times New Roman" w:cs="Times New Roman"/>
              </w:rPr>
            </w:pPr>
            <w:r w:rsidRPr="009D1AD3">
              <w:rPr>
                <w:rFonts w:ascii="Times New Roman" w:hAnsi="Times New Roman" w:cs="Times New Roman"/>
              </w:rPr>
              <w:t>Focus groups</w:t>
            </w:r>
          </w:p>
        </w:tc>
        <w:tc>
          <w:tcPr>
            <w:tcW w:w="2505" w:type="dxa"/>
          </w:tcPr>
          <w:p w14:paraId="57DA90A2" w14:textId="77777777" w:rsidR="00FB2C34" w:rsidRPr="009D1AD3" w:rsidRDefault="00FB2C34" w:rsidP="007721C8">
            <w:pPr>
              <w:rPr>
                <w:rFonts w:ascii="Times New Roman" w:hAnsi="Times New Roman" w:cs="Times New Roman"/>
              </w:rPr>
            </w:pPr>
          </w:p>
        </w:tc>
      </w:tr>
      <w:tr w:rsidR="00FB2C34" w:rsidRPr="009D1AD3" w14:paraId="033DE85D" w14:textId="77777777" w:rsidTr="007721C8">
        <w:tc>
          <w:tcPr>
            <w:tcW w:w="5385" w:type="dxa"/>
            <w:vAlign w:val="bottom"/>
          </w:tcPr>
          <w:p w14:paraId="42715AE9" w14:textId="7A3AB40C" w:rsidR="00FB2C34" w:rsidRPr="009D1AD3" w:rsidRDefault="00FB2C34" w:rsidP="007721C8">
            <w:pPr>
              <w:rPr>
                <w:rFonts w:ascii="Times New Roman" w:hAnsi="Times New Roman" w:cs="Times New Roman"/>
              </w:rPr>
            </w:pPr>
            <w:r w:rsidRPr="009D1AD3">
              <w:rPr>
                <w:rFonts w:ascii="Times New Roman" w:eastAsia="Calibri" w:hAnsi="Times New Roman" w:cs="Times New Roman"/>
              </w:rPr>
              <w:t>Meets obligations and mandates established by the state, states, or jurisdiction within which it operates</w:t>
            </w:r>
          </w:p>
        </w:tc>
        <w:tc>
          <w:tcPr>
            <w:tcW w:w="2880" w:type="dxa"/>
          </w:tcPr>
          <w:p w14:paraId="11B97BE2" w14:textId="58227802" w:rsidR="00FB2C34" w:rsidRPr="009D1AD3" w:rsidRDefault="004E702F" w:rsidP="007721C8">
            <w:pPr>
              <w:rPr>
                <w:rFonts w:ascii="Times New Roman" w:hAnsi="Times New Roman" w:cs="Times New Roman"/>
              </w:rPr>
            </w:pPr>
            <w:r w:rsidRPr="009D1AD3">
              <w:rPr>
                <w:rFonts w:ascii="Times New Roman" w:hAnsi="Times New Roman" w:cs="Times New Roman"/>
              </w:rPr>
              <w:t>State standards met!</w:t>
            </w:r>
          </w:p>
        </w:tc>
        <w:tc>
          <w:tcPr>
            <w:tcW w:w="2505" w:type="dxa"/>
          </w:tcPr>
          <w:p w14:paraId="13D23B69" w14:textId="77777777" w:rsidR="00FB2C34" w:rsidRPr="009D1AD3" w:rsidRDefault="00FB2C34" w:rsidP="007721C8">
            <w:pPr>
              <w:rPr>
                <w:rFonts w:ascii="Times New Roman" w:hAnsi="Times New Roman" w:cs="Times New Roman"/>
              </w:rPr>
            </w:pPr>
          </w:p>
        </w:tc>
      </w:tr>
      <w:tr w:rsidR="00FB2C34" w:rsidRPr="009D1AD3" w14:paraId="16E8DDC7" w14:textId="77777777" w:rsidTr="007721C8">
        <w:tc>
          <w:tcPr>
            <w:tcW w:w="5385" w:type="dxa"/>
            <w:vAlign w:val="bottom"/>
          </w:tcPr>
          <w:p w14:paraId="7907FA9E" w14:textId="3E2FF51D" w:rsidR="00FB2C34" w:rsidRPr="009D1AD3" w:rsidRDefault="00FB2C34" w:rsidP="007721C8">
            <w:pPr>
              <w:rPr>
                <w:rFonts w:ascii="Times New Roman" w:hAnsi="Times New Roman" w:cs="Times New Roman"/>
              </w:rPr>
            </w:pPr>
            <w:r w:rsidRPr="009D1AD3">
              <w:rPr>
                <w:rFonts w:ascii="Times New Roman" w:eastAsia="Calibri" w:hAnsi="Times New Roman" w:cs="Times New Roman"/>
              </w:rPr>
              <w:t>Investigates its own effectiveness relative to its institutional and/or programmatic mission and commitments</w:t>
            </w:r>
          </w:p>
        </w:tc>
        <w:tc>
          <w:tcPr>
            <w:tcW w:w="2880" w:type="dxa"/>
          </w:tcPr>
          <w:p w14:paraId="42268081" w14:textId="64F91E3D" w:rsidR="00FB2C34" w:rsidRPr="009D1AD3" w:rsidRDefault="004E702F" w:rsidP="007721C8">
            <w:pPr>
              <w:rPr>
                <w:rFonts w:ascii="Times New Roman" w:hAnsi="Times New Roman" w:cs="Times New Roman"/>
              </w:rPr>
            </w:pPr>
            <w:r w:rsidRPr="009D1AD3">
              <w:rPr>
                <w:rFonts w:ascii="Times New Roman" w:hAnsi="Times New Roman" w:cs="Times New Roman"/>
              </w:rPr>
              <w:t>Clearly mission focused.</w:t>
            </w:r>
          </w:p>
        </w:tc>
        <w:tc>
          <w:tcPr>
            <w:tcW w:w="2505" w:type="dxa"/>
          </w:tcPr>
          <w:p w14:paraId="5A1C9E11" w14:textId="77777777" w:rsidR="00FB2C34" w:rsidRPr="009D1AD3" w:rsidRDefault="00FB2C34" w:rsidP="007721C8">
            <w:pPr>
              <w:rPr>
                <w:rFonts w:ascii="Times New Roman" w:hAnsi="Times New Roman" w:cs="Times New Roman"/>
              </w:rPr>
            </w:pPr>
          </w:p>
        </w:tc>
      </w:tr>
    </w:tbl>
    <w:p w14:paraId="5A6A8CCC" w14:textId="77777777" w:rsidR="0076359B" w:rsidRPr="009D1AD3" w:rsidRDefault="0076359B" w:rsidP="0076359B">
      <w:pPr>
        <w:rPr>
          <w:rFonts w:ascii="Times New Roman" w:eastAsia="Calibri" w:hAnsi="Times New Roman" w:cs="Times New Roman"/>
          <w:sz w:val="24"/>
          <w:szCs w:val="24"/>
        </w:rPr>
      </w:pPr>
    </w:p>
    <w:p w14:paraId="7A4BB8A4" w14:textId="387B0789" w:rsidR="0076359B" w:rsidRPr="009D1AD3" w:rsidRDefault="0076359B" w:rsidP="00B34B8F">
      <w:pPr>
        <w:rPr>
          <w:rFonts w:ascii="Times New Roman" w:hAnsi="Times New Roman" w:cs="Times New Roman"/>
          <w:sz w:val="24"/>
          <w:szCs w:val="24"/>
        </w:rPr>
      </w:pPr>
    </w:p>
    <w:sectPr w:rsidR="0076359B" w:rsidRPr="009D1AD3" w:rsidSect="004B48BA">
      <w:footerReference w:type="default" r:id="rId7"/>
      <w:footnotePr>
        <w:numRestart w:val="eachSect"/>
      </w:footnotePr>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F7691" w14:textId="77777777" w:rsidR="00CA6AA8" w:rsidRDefault="00CA6AA8">
      <w:pPr>
        <w:spacing w:line="240" w:lineRule="auto"/>
      </w:pPr>
      <w:r>
        <w:separator/>
      </w:r>
    </w:p>
  </w:endnote>
  <w:endnote w:type="continuationSeparator" w:id="0">
    <w:p w14:paraId="4238F42A" w14:textId="77777777" w:rsidR="00CA6AA8" w:rsidRDefault="00CA6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Angsana New"/>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8503" w14:textId="77777777" w:rsidR="0061131C" w:rsidRDefault="0061131C" w:rsidP="00144D2C">
    <w:pPr>
      <w:framePr w:w="8102" w:h="778" w:hRule="exact" w:wrap="none" w:vAnchor="text" w:hAnchor="page" w:x="2969" w:y="33"/>
      <w:spacing w:before="120"/>
      <w:rPr>
        <w:rFonts w:asciiTheme="majorHAnsi" w:eastAsia="Calibri" w:hAnsiTheme="majorHAnsi" w:cstheme="majorHAnsi"/>
        <w:sz w:val="20"/>
        <w:szCs w:val="20"/>
      </w:rPr>
    </w:pPr>
  </w:p>
  <w:p w14:paraId="0EBDE9B8" w14:textId="3D5C4499" w:rsidR="00313AC2" w:rsidRDefault="00313AC2" w:rsidP="0061131C">
    <w:pPr>
      <w:tabs>
        <w:tab w:val="center" w:pos="4680"/>
        <w:tab w:val="right" w:pos="9360"/>
      </w:tabs>
      <w:spacing w:before="200" w:line="240"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35225" w14:textId="77777777" w:rsidR="00CA6AA8" w:rsidRDefault="00CA6AA8">
      <w:pPr>
        <w:spacing w:line="240" w:lineRule="auto"/>
      </w:pPr>
      <w:r>
        <w:separator/>
      </w:r>
    </w:p>
  </w:footnote>
  <w:footnote w:type="continuationSeparator" w:id="0">
    <w:p w14:paraId="7E4622D0" w14:textId="77777777" w:rsidR="00CA6AA8" w:rsidRDefault="00CA6A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6F1"/>
    <w:multiLevelType w:val="multilevel"/>
    <w:tmpl w:val="0F06B9C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A069F6"/>
    <w:multiLevelType w:val="hybridMultilevel"/>
    <w:tmpl w:val="7E00461A"/>
    <w:lvl w:ilvl="0" w:tplc="92F42366">
      <w:numFmt w:val="bullet"/>
      <w:lvlText w:val="·"/>
      <w:lvlJc w:val="left"/>
      <w:pPr>
        <w:ind w:left="126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350852"/>
    <w:multiLevelType w:val="hybridMultilevel"/>
    <w:tmpl w:val="9F58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A2BF8"/>
    <w:multiLevelType w:val="multilevel"/>
    <w:tmpl w:val="F776F5E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314" w:hanging="360"/>
      </w:pPr>
    </w:lvl>
    <w:lvl w:ilvl="2">
      <w:start w:val="1"/>
      <w:numFmt w:val="lowerRoman"/>
      <w:lvlText w:val="%3."/>
      <w:lvlJc w:val="right"/>
      <w:pPr>
        <w:ind w:left="1034" w:hanging="180"/>
      </w:pPr>
    </w:lvl>
    <w:lvl w:ilvl="3">
      <w:start w:val="1"/>
      <w:numFmt w:val="decimal"/>
      <w:lvlText w:val="%4."/>
      <w:lvlJc w:val="left"/>
      <w:pPr>
        <w:ind w:left="1754" w:hanging="360"/>
      </w:pPr>
    </w:lvl>
    <w:lvl w:ilvl="4">
      <w:start w:val="1"/>
      <w:numFmt w:val="lowerLetter"/>
      <w:lvlText w:val="%5."/>
      <w:lvlJc w:val="left"/>
      <w:pPr>
        <w:ind w:left="2474" w:hanging="360"/>
      </w:pPr>
    </w:lvl>
    <w:lvl w:ilvl="5">
      <w:start w:val="1"/>
      <w:numFmt w:val="lowerRoman"/>
      <w:lvlText w:val="%6."/>
      <w:lvlJc w:val="right"/>
      <w:pPr>
        <w:ind w:left="3194" w:hanging="180"/>
      </w:pPr>
    </w:lvl>
    <w:lvl w:ilvl="6">
      <w:start w:val="1"/>
      <w:numFmt w:val="decimal"/>
      <w:lvlText w:val="%7."/>
      <w:lvlJc w:val="left"/>
      <w:pPr>
        <w:ind w:left="3914" w:hanging="360"/>
      </w:pPr>
    </w:lvl>
    <w:lvl w:ilvl="7">
      <w:start w:val="1"/>
      <w:numFmt w:val="lowerLetter"/>
      <w:lvlText w:val="%8."/>
      <w:lvlJc w:val="left"/>
      <w:pPr>
        <w:ind w:left="4634" w:hanging="360"/>
      </w:pPr>
    </w:lvl>
    <w:lvl w:ilvl="8">
      <w:start w:val="1"/>
      <w:numFmt w:val="lowerRoman"/>
      <w:lvlText w:val="%9."/>
      <w:lvlJc w:val="right"/>
      <w:pPr>
        <w:ind w:left="5354" w:hanging="180"/>
      </w:pPr>
    </w:lvl>
  </w:abstractNum>
  <w:abstractNum w:abstractNumId="4" w15:restartNumberingAfterBreak="0">
    <w:nsid w:val="1F9F45E8"/>
    <w:multiLevelType w:val="hybridMultilevel"/>
    <w:tmpl w:val="1D92EAC4"/>
    <w:lvl w:ilvl="0" w:tplc="0E10DDD4">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07CE8"/>
    <w:multiLevelType w:val="multilevel"/>
    <w:tmpl w:val="4066E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9848E8"/>
    <w:multiLevelType w:val="multilevel"/>
    <w:tmpl w:val="765E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C49AE"/>
    <w:multiLevelType w:val="multilevel"/>
    <w:tmpl w:val="D8D034C0"/>
    <w:lvl w:ilvl="0">
      <w:start w:val="1"/>
      <w:numFmt w:val="bullet"/>
      <w:lvlText w:val="●"/>
      <w:lvlJc w:val="left"/>
      <w:pPr>
        <w:ind w:left="1486" w:hanging="360"/>
      </w:pPr>
      <w:rPr>
        <w:rFonts w:ascii="Noto Sans Symbols" w:eastAsia="Noto Sans Symbols" w:hAnsi="Noto Sans Symbols" w:cs="Noto Sans Symbols"/>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8" w15:restartNumberingAfterBreak="0">
    <w:nsid w:val="3E157C30"/>
    <w:multiLevelType w:val="multilevel"/>
    <w:tmpl w:val="43E8A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F16F6E"/>
    <w:multiLevelType w:val="hybridMultilevel"/>
    <w:tmpl w:val="4ECC5A6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4A236639"/>
    <w:multiLevelType w:val="multilevel"/>
    <w:tmpl w:val="AC4EAD0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BF7D93"/>
    <w:multiLevelType w:val="multilevel"/>
    <w:tmpl w:val="AD44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4E4935"/>
    <w:multiLevelType w:val="multilevel"/>
    <w:tmpl w:val="86DE6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A57E1D"/>
    <w:multiLevelType w:val="multilevel"/>
    <w:tmpl w:val="C7361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457442"/>
    <w:multiLevelType w:val="multilevel"/>
    <w:tmpl w:val="8D207D76"/>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9E73B5A"/>
    <w:multiLevelType w:val="hybridMultilevel"/>
    <w:tmpl w:val="C376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55C4F"/>
    <w:multiLevelType w:val="hybridMultilevel"/>
    <w:tmpl w:val="5B50A1CA"/>
    <w:lvl w:ilvl="0" w:tplc="92F42366">
      <w:numFmt w:val="bullet"/>
      <w:lvlText w:val="·"/>
      <w:lvlJc w:val="left"/>
      <w:pPr>
        <w:ind w:left="540" w:hanging="360"/>
      </w:pPr>
      <w:rPr>
        <w:rFonts w:ascii="Calibri" w:eastAsia="Calibr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2AB14E5"/>
    <w:multiLevelType w:val="hybridMultilevel"/>
    <w:tmpl w:val="B8D4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623E0"/>
    <w:multiLevelType w:val="hybridMultilevel"/>
    <w:tmpl w:val="2812B9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41672B6"/>
    <w:multiLevelType w:val="hybridMultilevel"/>
    <w:tmpl w:val="8D207D76"/>
    <w:lvl w:ilvl="0" w:tplc="18F2593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F8382C"/>
    <w:multiLevelType w:val="hybridMultilevel"/>
    <w:tmpl w:val="7E200F5A"/>
    <w:lvl w:ilvl="0" w:tplc="0E10DDD4">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1A3C7F"/>
    <w:multiLevelType w:val="multilevel"/>
    <w:tmpl w:val="36C6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419FC"/>
    <w:multiLevelType w:val="hybridMultilevel"/>
    <w:tmpl w:val="3D3EFC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D7E2604"/>
    <w:multiLevelType w:val="multilevel"/>
    <w:tmpl w:val="64F6C1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0"/>
  </w:num>
  <w:num w:numId="3">
    <w:abstractNumId w:val="10"/>
  </w:num>
  <w:num w:numId="4">
    <w:abstractNumId w:val="3"/>
  </w:num>
  <w:num w:numId="5">
    <w:abstractNumId w:val="23"/>
  </w:num>
  <w:num w:numId="6">
    <w:abstractNumId w:val="13"/>
  </w:num>
  <w:num w:numId="7">
    <w:abstractNumId w:val="5"/>
  </w:num>
  <w:num w:numId="8">
    <w:abstractNumId w:val="22"/>
  </w:num>
  <w:num w:numId="9">
    <w:abstractNumId w:val="16"/>
  </w:num>
  <w:num w:numId="10">
    <w:abstractNumId w:val="1"/>
  </w:num>
  <w:num w:numId="11">
    <w:abstractNumId w:val="19"/>
  </w:num>
  <w:num w:numId="12">
    <w:abstractNumId w:val="14"/>
  </w:num>
  <w:num w:numId="13">
    <w:abstractNumId w:val="20"/>
  </w:num>
  <w:num w:numId="14">
    <w:abstractNumId w:val="4"/>
  </w:num>
  <w:num w:numId="15">
    <w:abstractNumId w:val="9"/>
  </w:num>
  <w:num w:numId="16">
    <w:abstractNumId w:val="18"/>
  </w:num>
  <w:num w:numId="17">
    <w:abstractNumId w:val="17"/>
  </w:num>
  <w:num w:numId="18">
    <w:abstractNumId w:val="11"/>
  </w:num>
  <w:num w:numId="19">
    <w:abstractNumId w:val="6"/>
  </w:num>
  <w:num w:numId="20">
    <w:abstractNumId w:val="2"/>
  </w:num>
  <w:num w:numId="21">
    <w:abstractNumId w:val="12"/>
  </w:num>
  <w:num w:numId="22">
    <w:abstractNumId w:val="8"/>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hideSpellingErrors/>
  <w:hideGrammaticalError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2F"/>
    <w:rsid w:val="00021C4B"/>
    <w:rsid w:val="00033088"/>
    <w:rsid w:val="00034D69"/>
    <w:rsid w:val="00035957"/>
    <w:rsid w:val="00040E81"/>
    <w:rsid w:val="00055BBA"/>
    <w:rsid w:val="0006050E"/>
    <w:rsid w:val="0006653E"/>
    <w:rsid w:val="0007059E"/>
    <w:rsid w:val="000758FC"/>
    <w:rsid w:val="000E3EAB"/>
    <w:rsid w:val="00102683"/>
    <w:rsid w:val="001417D6"/>
    <w:rsid w:val="00144630"/>
    <w:rsid w:val="00144D2C"/>
    <w:rsid w:val="00156209"/>
    <w:rsid w:val="0015707F"/>
    <w:rsid w:val="00162935"/>
    <w:rsid w:val="00181514"/>
    <w:rsid w:val="001A4560"/>
    <w:rsid w:val="001D4E27"/>
    <w:rsid w:val="001E1AE6"/>
    <w:rsid w:val="00205030"/>
    <w:rsid w:val="002575E4"/>
    <w:rsid w:val="002647F5"/>
    <w:rsid w:val="002658B8"/>
    <w:rsid w:val="00272FC2"/>
    <w:rsid w:val="00287A3A"/>
    <w:rsid w:val="002A4599"/>
    <w:rsid w:val="002D47D6"/>
    <w:rsid w:val="002D48FB"/>
    <w:rsid w:val="002D5634"/>
    <w:rsid w:val="002D624D"/>
    <w:rsid w:val="002E7328"/>
    <w:rsid w:val="00311015"/>
    <w:rsid w:val="003110F5"/>
    <w:rsid w:val="00313AC2"/>
    <w:rsid w:val="00333D85"/>
    <w:rsid w:val="00363C92"/>
    <w:rsid w:val="003647CA"/>
    <w:rsid w:val="00397516"/>
    <w:rsid w:val="003B7C1B"/>
    <w:rsid w:val="0040506D"/>
    <w:rsid w:val="0042246A"/>
    <w:rsid w:val="0043646D"/>
    <w:rsid w:val="004546F3"/>
    <w:rsid w:val="004A1E85"/>
    <w:rsid w:val="004B48BA"/>
    <w:rsid w:val="004B749D"/>
    <w:rsid w:val="004D6CFE"/>
    <w:rsid w:val="004E11C9"/>
    <w:rsid w:val="004E13DE"/>
    <w:rsid w:val="004E702F"/>
    <w:rsid w:val="00501ABC"/>
    <w:rsid w:val="005021AD"/>
    <w:rsid w:val="00513996"/>
    <w:rsid w:val="00524FC2"/>
    <w:rsid w:val="00532C13"/>
    <w:rsid w:val="00551A92"/>
    <w:rsid w:val="005725B2"/>
    <w:rsid w:val="00576B7C"/>
    <w:rsid w:val="005918CD"/>
    <w:rsid w:val="005A607B"/>
    <w:rsid w:val="005E35EB"/>
    <w:rsid w:val="0061131C"/>
    <w:rsid w:val="00621FE7"/>
    <w:rsid w:val="006423D3"/>
    <w:rsid w:val="00652983"/>
    <w:rsid w:val="0066459F"/>
    <w:rsid w:val="00667862"/>
    <w:rsid w:val="00673A61"/>
    <w:rsid w:val="006A0BBF"/>
    <w:rsid w:val="006D10C6"/>
    <w:rsid w:val="00731AEC"/>
    <w:rsid w:val="00755618"/>
    <w:rsid w:val="0076359B"/>
    <w:rsid w:val="0077368A"/>
    <w:rsid w:val="007C4845"/>
    <w:rsid w:val="007D4569"/>
    <w:rsid w:val="007D4C84"/>
    <w:rsid w:val="007F4D7C"/>
    <w:rsid w:val="007F6146"/>
    <w:rsid w:val="00825744"/>
    <w:rsid w:val="008639B0"/>
    <w:rsid w:val="008B3689"/>
    <w:rsid w:val="008B65B8"/>
    <w:rsid w:val="008E46EC"/>
    <w:rsid w:val="008E55E0"/>
    <w:rsid w:val="00905765"/>
    <w:rsid w:val="009065AC"/>
    <w:rsid w:val="0091667F"/>
    <w:rsid w:val="009370E7"/>
    <w:rsid w:val="009530A7"/>
    <w:rsid w:val="009A1021"/>
    <w:rsid w:val="009D1AD3"/>
    <w:rsid w:val="009D6BF8"/>
    <w:rsid w:val="009E645B"/>
    <w:rsid w:val="00A011F9"/>
    <w:rsid w:val="00A30B6F"/>
    <w:rsid w:val="00A8300C"/>
    <w:rsid w:val="00AE3D74"/>
    <w:rsid w:val="00AE70AC"/>
    <w:rsid w:val="00AF29AE"/>
    <w:rsid w:val="00AF7168"/>
    <w:rsid w:val="00B12B6D"/>
    <w:rsid w:val="00B27F3C"/>
    <w:rsid w:val="00B34B8F"/>
    <w:rsid w:val="00B57935"/>
    <w:rsid w:val="00B728B3"/>
    <w:rsid w:val="00B84646"/>
    <w:rsid w:val="00BA74F5"/>
    <w:rsid w:val="00BC0F70"/>
    <w:rsid w:val="00BC64D5"/>
    <w:rsid w:val="00BC7FE2"/>
    <w:rsid w:val="00BD19CE"/>
    <w:rsid w:val="00BF46C3"/>
    <w:rsid w:val="00C254A0"/>
    <w:rsid w:val="00C84285"/>
    <w:rsid w:val="00CA6AA8"/>
    <w:rsid w:val="00CD2F50"/>
    <w:rsid w:val="00CD6D60"/>
    <w:rsid w:val="00CE404E"/>
    <w:rsid w:val="00CF784A"/>
    <w:rsid w:val="00D114DC"/>
    <w:rsid w:val="00D363DA"/>
    <w:rsid w:val="00D4283C"/>
    <w:rsid w:val="00D56031"/>
    <w:rsid w:val="00D5728F"/>
    <w:rsid w:val="00D64951"/>
    <w:rsid w:val="00D76F31"/>
    <w:rsid w:val="00D82C05"/>
    <w:rsid w:val="00D91FDA"/>
    <w:rsid w:val="00DB245E"/>
    <w:rsid w:val="00DB39E7"/>
    <w:rsid w:val="00DD5C98"/>
    <w:rsid w:val="00DD771E"/>
    <w:rsid w:val="00E0264D"/>
    <w:rsid w:val="00E047AC"/>
    <w:rsid w:val="00E06804"/>
    <w:rsid w:val="00E17D12"/>
    <w:rsid w:val="00E248C6"/>
    <w:rsid w:val="00E4534E"/>
    <w:rsid w:val="00E63FFE"/>
    <w:rsid w:val="00E810DF"/>
    <w:rsid w:val="00EB1D80"/>
    <w:rsid w:val="00ED2251"/>
    <w:rsid w:val="00EE69B8"/>
    <w:rsid w:val="00EF4A3C"/>
    <w:rsid w:val="00F431C4"/>
    <w:rsid w:val="00F725E4"/>
    <w:rsid w:val="00F746A9"/>
    <w:rsid w:val="00F86E8B"/>
    <w:rsid w:val="00FA560B"/>
    <w:rsid w:val="00FB2C34"/>
    <w:rsid w:val="00FB2F96"/>
    <w:rsid w:val="00FC07AC"/>
    <w:rsid w:val="00FD6359"/>
    <w:rsid w:val="00FD682F"/>
    <w:rsid w:val="00FE6FB2"/>
    <w:rsid w:val="00FF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16AD"/>
  <w15:docId w15:val="{92CE1890-1E1E-BF40-AADB-AFCFFA0D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27F3C"/>
    <w:pPr>
      <w:ind w:left="720"/>
      <w:contextualSpacing/>
    </w:pPr>
  </w:style>
  <w:style w:type="character" w:styleId="Hyperlink">
    <w:name w:val="Hyperlink"/>
    <w:basedOn w:val="DefaultParagraphFont"/>
    <w:uiPriority w:val="99"/>
    <w:unhideWhenUsed/>
    <w:rsid w:val="00EE69B8"/>
    <w:rPr>
      <w:color w:val="0000FF" w:themeColor="hyperlink"/>
      <w:u w:val="single"/>
    </w:rPr>
  </w:style>
  <w:style w:type="character" w:styleId="UnresolvedMention">
    <w:name w:val="Unresolved Mention"/>
    <w:basedOn w:val="DefaultParagraphFont"/>
    <w:uiPriority w:val="99"/>
    <w:semiHidden/>
    <w:unhideWhenUsed/>
    <w:rsid w:val="00EE69B8"/>
    <w:rPr>
      <w:color w:val="808080"/>
      <w:shd w:val="clear" w:color="auto" w:fill="E6E6E6"/>
    </w:rPr>
  </w:style>
  <w:style w:type="paragraph" w:styleId="Footer">
    <w:name w:val="footer"/>
    <w:basedOn w:val="Normal"/>
    <w:link w:val="FooterChar"/>
    <w:uiPriority w:val="99"/>
    <w:unhideWhenUsed/>
    <w:rsid w:val="00EE69B8"/>
    <w:pPr>
      <w:tabs>
        <w:tab w:val="center" w:pos="4680"/>
        <w:tab w:val="right" w:pos="9360"/>
      </w:tabs>
      <w:spacing w:line="240" w:lineRule="auto"/>
    </w:pPr>
  </w:style>
  <w:style w:type="character" w:customStyle="1" w:styleId="FooterChar">
    <w:name w:val="Footer Char"/>
    <w:basedOn w:val="DefaultParagraphFont"/>
    <w:link w:val="Footer"/>
    <w:uiPriority w:val="99"/>
    <w:rsid w:val="00EE69B8"/>
  </w:style>
  <w:style w:type="character" w:styleId="PageNumber">
    <w:name w:val="page number"/>
    <w:basedOn w:val="DefaultParagraphFont"/>
    <w:uiPriority w:val="99"/>
    <w:semiHidden/>
    <w:unhideWhenUsed/>
    <w:rsid w:val="00EE69B8"/>
  </w:style>
  <w:style w:type="paragraph" w:styleId="Header">
    <w:name w:val="header"/>
    <w:basedOn w:val="Normal"/>
    <w:link w:val="HeaderChar"/>
    <w:uiPriority w:val="99"/>
    <w:unhideWhenUsed/>
    <w:rsid w:val="00EE69B8"/>
    <w:pPr>
      <w:tabs>
        <w:tab w:val="center" w:pos="4680"/>
        <w:tab w:val="right" w:pos="9360"/>
      </w:tabs>
      <w:spacing w:line="240" w:lineRule="auto"/>
    </w:pPr>
  </w:style>
  <w:style w:type="character" w:customStyle="1" w:styleId="HeaderChar">
    <w:name w:val="Header Char"/>
    <w:basedOn w:val="DefaultParagraphFont"/>
    <w:link w:val="Header"/>
    <w:uiPriority w:val="99"/>
    <w:rsid w:val="00EE69B8"/>
  </w:style>
  <w:style w:type="paragraph" w:styleId="FootnoteText">
    <w:name w:val="footnote text"/>
    <w:basedOn w:val="Normal"/>
    <w:link w:val="FootnoteTextChar"/>
    <w:uiPriority w:val="99"/>
    <w:semiHidden/>
    <w:unhideWhenUsed/>
    <w:rsid w:val="00EE69B8"/>
    <w:pPr>
      <w:spacing w:line="240" w:lineRule="auto"/>
    </w:pPr>
    <w:rPr>
      <w:sz w:val="20"/>
      <w:szCs w:val="20"/>
    </w:rPr>
  </w:style>
  <w:style w:type="character" w:customStyle="1" w:styleId="FootnoteTextChar">
    <w:name w:val="Footnote Text Char"/>
    <w:basedOn w:val="DefaultParagraphFont"/>
    <w:link w:val="FootnoteText"/>
    <w:uiPriority w:val="99"/>
    <w:semiHidden/>
    <w:rsid w:val="00EE69B8"/>
    <w:rPr>
      <w:sz w:val="20"/>
      <w:szCs w:val="20"/>
    </w:rPr>
  </w:style>
  <w:style w:type="character" w:styleId="FootnoteReference">
    <w:name w:val="footnote reference"/>
    <w:basedOn w:val="DefaultParagraphFont"/>
    <w:uiPriority w:val="99"/>
    <w:semiHidden/>
    <w:unhideWhenUsed/>
    <w:rsid w:val="00EE69B8"/>
    <w:rPr>
      <w:vertAlign w:val="superscript"/>
    </w:rPr>
  </w:style>
  <w:style w:type="paragraph" w:styleId="BalloonText">
    <w:name w:val="Balloon Text"/>
    <w:basedOn w:val="Normal"/>
    <w:link w:val="BalloonTextChar"/>
    <w:uiPriority w:val="99"/>
    <w:semiHidden/>
    <w:unhideWhenUsed/>
    <w:rsid w:val="00FB2F96"/>
    <w:pPr>
      <w:spacing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FB2F96"/>
    <w:rPr>
      <w:rFonts w:ascii="Times New Roman" w:hAnsi="Times New Roman" w:cs="Times New Roman"/>
      <w:sz w:val="26"/>
      <w:szCs w:val="26"/>
    </w:rPr>
  </w:style>
  <w:style w:type="table" w:styleId="TableGrid">
    <w:name w:val="Table Grid"/>
    <w:basedOn w:val="TableNormal"/>
    <w:uiPriority w:val="39"/>
    <w:rsid w:val="00B8464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BF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7192">
      <w:bodyDiv w:val="1"/>
      <w:marLeft w:val="0"/>
      <w:marRight w:val="0"/>
      <w:marTop w:val="0"/>
      <w:marBottom w:val="0"/>
      <w:divBdr>
        <w:top w:val="none" w:sz="0" w:space="0" w:color="auto"/>
        <w:left w:val="none" w:sz="0" w:space="0" w:color="auto"/>
        <w:bottom w:val="none" w:sz="0" w:space="0" w:color="auto"/>
        <w:right w:val="none" w:sz="0" w:space="0" w:color="auto"/>
      </w:divBdr>
      <w:divsChild>
        <w:div w:id="161547571">
          <w:marLeft w:val="0"/>
          <w:marRight w:val="0"/>
          <w:marTop w:val="0"/>
          <w:marBottom w:val="0"/>
          <w:divBdr>
            <w:top w:val="none" w:sz="0" w:space="0" w:color="auto"/>
            <w:left w:val="none" w:sz="0" w:space="0" w:color="auto"/>
            <w:bottom w:val="none" w:sz="0" w:space="0" w:color="auto"/>
            <w:right w:val="none" w:sz="0" w:space="0" w:color="auto"/>
          </w:divBdr>
          <w:divsChild>
            <w:div w:id="1897742087">
              <w:marLeft w:val="0"/>
              <w:marRight w:val="0"/>
              <w:marTop w:val="0"/>
              <w:marBottom w:val="0"/>
              <w:divBdr>
                <w:top w:val="none" w:sz="0" w:space="0" w:color="auto"/>
                <w:left w:val="none" w:sz="0" w:space="0" w:color="auto"/>
                <w:bottom w:val="none" w:sz="0" w:space="0" w:color="auto"/>
                <w:right w:val="none" w:sz="0" w:space="0" w:color="auto"/>
              </w:divBdr>
              <w:divsChild>
                <w:div w:id="14152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1040">
      <w:bodyDiv w:val="1"/>
      <w:marLeft w:val="0"/>
      <w:marRight w:val="0"/>
      <w:marTop w:val="0"/>
      <w:marBottom w:val="0"/>
      <w:divBdr>
        <w:top w:val="none" w:sz="0" w:space="0" w:color="auto"/>
        <w:left w:val="none" w:sz="0" w:space="0" w:color="auto"/>
        <w:bottom w:val="none" w:sz="0" w:space="0" w:color="auto"/>
        <w:right w:val="none" w:sz="0" w:space="0" w:color="auto"/>
      </w:divBdr>
      <w:divsChild>
        <w:div w:id="527841544">
          <w:marLeft w:val="0"/>
          <w:marRight w:val="0"/>
          <w:marTop w:val="0"/>
          <w:marBottom w:val="0"/>
          <w:divBdr>
            <w:top w:val="none" w:sz="0" w:space="0" w:color="auto"/>
            <w:left w:val="none" w:sz="0" w:space="0" w:color="auto"/>
            <w:bottom w:val="none" w:sz="0" w:space="0" w:color="auto"/>
            <w:right w:val="none" w:sz="0" w:space="0" w:color="auto"/>
          </w:divBdr>
          <w:divsChild>
            <w:div w:id="1562402216">
              <w:marLeft w:val="0"/>
              <w:marRight w:val="0"/>
              <w:marTop w:val="0"/>
              <w:marBottom w:val="0"/>
              <w:divBdr>
                <w:top w:val="none" w:sz="0" w:space="0" w:color="auto"/>
                <w:left w:val="none" w:sz="0" w:space="0" w:color="auto"/>
                <w:bottom w:val="none" w:sz="0" w:space="0" w:color="auto"/>
                <w:right w:val="none" w:sz="0" w:space="0" w:color="auto"/>
              </w:divBdr>
              <w:divsChild>
                <w:div w:id="2623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7466">
      <w:bodyDiv w:val="1"/>
      <w:marLeft w:val="0"/>
      <w:marRight w:val="0"/>
      <w:marTop w:val="0"/>
      <w:marBottom w:val="0"/>
      <w:divBdr>
        <w:top w:val="none" w:sz="0" w:space="0" w:color="auto"/>
        <w:left w:val="none" w:sz="0" w:space="0" w:color="auto"/>
        <w:bottom w:val="none" w:sz="0" w:space="0" w:color="auto"/>
        <w:right w:val="none" w:sz="0" w:space="0" w:color="auto"/>
      </w:divBdr>
      <w:divsChild>
        <w:div w:id="1545412104">
          <w:marLeft w:val="0"/>
          <w:marRight w:val="0"/>
          <w:marTop w:val="0"/>
          <w:marBottom w:val="0"/>
          <w:divBdr>
            <w:top w:val="none" w:sz="0" w:space="0" w:color="auto"/>
            <w:left w:val="none" w:sz="0" w:space="0" w:color="auto"/>
            <w:bottom w:val="none" w:sz="0" w:space="0" w:color="auto"/>
            <w:right w:val="none" w:sz="0" w:space="0" w:color="auto"/>
          </w:divBdr>
          <w:divsChild>
            <w:div w:id="1545410184">
              <w:marLeft w:val="0"/>
              <w:marRight w:val="0"/>
              <w:marTop w:val="0"/>
              <w:marBottom w:val="0"/>
              <w:divBdr>
                <w:top w:val="none" w:sz="0" w:space="0" w:color="auto"/>
                <w:left w:val="none" w:sz="0" w:space="0" w:color="auto"/>
                <w:bottom w:val="none" w:sz="0" w:space="0" w:color="auto"/>
                <w:right w:val="none" w:sz="0" w:space="0" w:color="auto"/>
              </w:divBdr>
              <w:divsChild>
                <w:div w:id="14300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02699">
      <w:bodyDiv w:val="1"/>
      <w:marLeft w:val="0"/>
      <w:marRight w:val="0"/>
      <w:marTop w:val="0"/>
      <w:marBottom w:val="0"/>
      <w:divBdr>
        <w:top w:val="none" w:sz="0" w:space="0" w:color="auto"/>
        <w:left w:val="none" w:sz="0" w:space="0" w:color="auto"/>
        <w:bottom w:val="none" w:sz="0" w:space="0" w:color="auto"/>
        <w:right w:val="none" w:sz="0" w:space="0" w:color="auto"/>
      </w:divBdr>
      <w:divsChild>
        <w:div w:id="640312178">
          <w:marLeft w:val="0"/>
          <w:marRight w:val="0"/>
          <w:marTop w:val="0"/>
          <w:marBottom w:val="0"/>
          <w:divBdr>
            <w:top w:val="none" w:sz="0" w:space="0" w:color="auto"/>
            <w:left w:val="none" w:sz="0" w:space="0" w:color="auto"/>
            <w:bottom w:val="none" w:sz="0" w:space="0" w:color="auto"/>
            <w:right w:val="none" w:sz="0" w:space="0" w:color="auto"/>
          </w:divBdr>
          <w:divsChild>
            <w:div w:id="586883182">
              <w:marLeft w:val="0"/>
              <w:marRight w:val="0"/>
              <w:marTop w:val="0"/>
              <w:marBottom w:val="0"/>
              <w:divBdr>
                <w:top w:val="none" w:sz="0" w:space="0" w:color="auto"/>
                <w:left w:val="none" w:sz="0" w:space="0" w:color="auto"/>
                <w:bottom w:val="none" w:sz="0" w:space="0" w:color="auto"/>
                <w:right w:val="none" w:sz="0" w:space="0" w:color="auto"/>
              </w:divBdr>
              <w:divsChild>
                <w:div w:id="14271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2670">
      <w:bodyDiv w:val="1"/>
      <w:marLeft w:val="0"/>
      <w:marRight w:val="0"/>
      <w:marTop w:val="0"/>
      <w:marBottom w:val="0"/>
      <w:divBdr>
        <w:top w:val="none" w:sz="0" w:space="0" w:color="auto"/>
        <w:left w:val="none" w:sz="0" w:space="0" w:color="auto"/>
        <w:bottom w:val="none" w:sz="0" w:space="0" w:color="auto"/>
        <w:right w:val="none" w:sz="0" w:space="0" w:color="auto"/>
      </w:divBdr>
      <w:divsChild>
        <w:div w:id="44180661">
          <w:marLeft w:val="0"/>
          <w:marRight w:val="0"/>
          <w:marTop w:val="0"/>
          <w:marBottom w:val="0"/>
          <w:divBdr>
            <w:top w:val="none" w:sz="0" w:space="0" w:color="auto"/>
            <w:left w:val="none" w:sz="0" w:space="0" w:color="auto"/>
            <w:bottom w:val="none" w:sz="0" w:space="0" w:color="auto"/>
            <w:right w:val="none" w:sz="0" w:space="0" w:color="auto"/>
          </w:divBdr>
          <w:divsChild>
            <w:div w:id="309092175">
              <w:marLeft w:val="0"/>
              <w:marRight w:val="0"/>
              <w:marTop w:val="0"/>
              <w:marBottom w:val="0"/>
              <w:divBdr>
                <w:top w:val="none" w:sz="0" w:space="0" w:color="auto"/>
                <w:left w:val="none" w:sz="0" w:space="0" w:color="auto"/>
                <w:bottom w:val="none" w:sz="0" w:space="0" w:color="auto"/>
                <w:right w:val="none" w:sz="0" w:space="0" w:color="auto"/>
              </w:divBdr>
              <w:divsChild>
                <w:div w:id="17339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5996">
      <w:bodyDiv w:val="1"/>
      <w:marLeft w:val="0"/>
      <w:marRight w:val="0"/>
      <w:marTop w:val="0"/>
      <w:marBottom w:val="0"/>
      <w:divBdr>
        <w:top w:val="none" w:sz="0" w:space="0" w:color="auto"/>
        <w:left w:val="none" w:sz="0" w:space="0" w:color="auto"/>
        <w:bottom w:val="none" w:sz="0" w:space="0" w:color="auto"/>
        <w:right w:val="none" w:sz="0" w:space="0" w:color="auto"/>
      </w:divBdr>
      <w:divsChild>
        <w:div w:id="262232112">
          <w:marLeft w:val="0"/>
          <w:marRight w:val="0"/>
          <w:marTop w:val="0"/>
          <w:marBottom w:val="0"/>
          <w:divBdr>
            <w:top w:val="none" w:sz="0" w:space="0" w:color="auto"/>
            <w:left w:val="none" w:sz="0" w:space="0" w:color="auto"/>
            <w:bottom w:val="none" w:sz="0" w:space="0" w:color="auto"/>
            <w:right w:val="none" w:sz="0" w:space="0" w:color="auto"/>
          </w:divBdr>
          <w:divsChild>
            <w:div w:id="875704757">
              <w:marLeft w:val="0"/>
              <w:marRight w:val="0"/>
              <w:marTop w:val="0"/>
              <w:marBottom w:val="0"/>
              <w:divBdr>
                <w:top w:val="none" w:sz="0" w:space="0" w:color="auto"/>
                <w:left w:val="none" w:sz="0" w:space="0" w:color="auto"/>
                <w:bottom w:val="none" w:sz="0" w:space="0" w:color="auto"/>
                <w:right w:val="none" w:sz="0" w:space="0" w:color="auto"/>
              </w:divBdr>
              <w:divsChild>
                <w:div w:id="1673296005">
                  <w:marLeft w:val="0"/>
                  <w:marRight w:val="0"/>
                  <w:marTop w:val="0"/>
                  <w:marBottom w:val="0"/>
                  <w:divBdr>
                    <w:top w:val="none" w:sz="0" w:space="0" w:color="auto"/>
                    <w:left w:val="none" w:sz="0" w:space="0" w:color="auto"/>
                    <w:bottom w:val="none" w:sz="0" w:space="0" w:color="auto"/>
                    <w:right w:val="none" w:sz="0" w:space="0" w:color="auto"/>
                  </w:divBdr>
                  <w:divsChild>
                    <w:div w:id="21201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79519">
      <w:bodyDiv w:val="1"/>
      <w:marLeft w:val="0"/>
      <w:marRight w:val="0"/>
      <w:marTop w:val="0"/>
      <w:marBottom w:val="0"/>
      <w:divBdr>
        <w:top w:val="none" w:sz="0" w:space="0" w:color="auto"/>
        <w:left w:val="none" w:sz="0" w:space="0" w:color="auto"/>
        <w:bottom w:val="none" w:sz="0" w:space="0" w:color="auto"/>
        <w:right w:val="none" w:sz="0" w:space="0" w:color="auto"/>
      </w:divBdr>
      <w:divsChild>
        <w:div w:id="268125291">
          <w:marLeft w:val="0"/>
          <w:marRight w:val="0"/>
          <w:marTop w:val="0"/>
          <w:marBottom w:val="0"/>
          <w:divBdr>
            <w:top w:val="none" w:sz="0" w:space="0" w:color="auto"/>
            <w:left w:val="none" w:sz="0" w:space="0" w:color="auto"/>
            <w:bottom w:val="none" w:sz="0" w:space="0" w:color="auto"/>
            <w:right w:val="none" w:sz="0" w:space="0" w:color="auto"/>
          </w:divBdr>
          <w:divsChild>
            <w:div w:id="1385563874">
              <w:marLeft w:val="0"/>
              <w:marRight w:val="0"/>
              <w:marTop w:val="0"/>
              <w:marBottom w:val="0"/>
              <w:divBdr>
                <w:top w:val="none" w:sz="0" w:space="0" w:color="auto"/>
                <w:left w:val="none" w:sz="0" w:space="0" w:color="auto"/>
                <w:bottom w:val="none" w:sz="0" w:space="0" w:color="auto"/>
                <w:right w:val="none" w:sz="0" w:space="0" w:color="auto"/>
              </w:divBdr>
              <w:divsChild>
                <w:div w:id="3151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5824">
      <w:bodyDiv w:val="1"/>
      <w:marLeft w:val="0"/>
      <w:marRight w:val="0"/>
      <w:marTop w:val="0"/>
      <w:marBottom w:val="0"/>
      <w:divBdr>
        <w:top w:val="none" w:sz="0" w:space="0" w:color="auto"/>
        <w:left w:val="none" w:sz="0" w:space="0" w:color="auto"/>
        <w:bottom w:val="none" w:sz="0" w:space="0" w:color="auto"/>
        <w:right w:val="none" w:sz="0" w:space="0" w:color="auto"/>
      </w:divBdr>
      <w:divsChild>
        <w:div w:id="1258518596">
          <w:marLeft w:val="0"/>
          <w:marRight w:val="0"/>
          <w:marTop w:val="0"/>
          <w:marBottom w:val="0"/>
          <w:divBdr>
            <w:top w:val="none" w:sz="0" w:space="0" w:color="auto"/>
            <w:left w:val="none" w:sz="0" w:space="0" w:color="auto"/>
            <w:bottom w:val="none" w:sz="0" w:space="0" w:color="auto"/>
            <w:right w:val="none" w:sz="0" w:space="0" w:color="auto"/>
          </w:divBdr>
          <w:divsChild>
            <w:div w:id="783422827">
              <w:marLeft w:val="0"/>
              <w:marRight w:val="0"/>
              <w:marTop w:val="0"/>
              <w:marBottom w:val="0"/>
              <w:divBdr>
                <w:top w:val="none" w:sz="0" w:space="0" w:color="auto"/>
                <w:left w:val="none" w:sz="0" w:space="0" w:color="auto"/>
                <w:bottom w:val="none" w:sz="0" w:space="0" w:color="auto"/>
                <w:right w:val="none" w:sz="0" w:space="0" w:color="auto"/>
              </w:divBdr>
              <w:divsChild>
                <w:div w:id="20691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6399">
      <w:bodyDiv w:val="1"/>
      <w:marLeft w:val="0"/>
      <w:marRight w:val="0"/>
      <w:marTop w:val="0"/>
      <w:marBottom w:val="0"/>
      <w:divBdr>
        <w:top w:val="none" w:sz="0" w:space="0" w:color="auto"/>
        <w:left w:val="none" w:sz="0" w:space="0" w:color="auto"/>
        <w:bottom w:val="none" w:sz="0" w:space="0" w:color="auto"/>
        <w:right w:val="none" w:sz="0" w:space="0" w:color="auto"/>
      </w:divBdr>
      <w:divsChild>
        <w:div w:id="1799376033">
          <w:marLeft w:val="0"/>
          <w:marRight w:val="0"/>
          <w:marTop w:val="0"/>
          <w:marBottom w:val="0"/>
          <w:divBdr>
            <w:top w:val="none" w:sz="0" w:space="0" w:color="auto"/>
            <w:left w:val="none" w:sz="0" w:space="0" w:color="auto"/>
            <w:bottom w:val="none" w:sz="0" w:space="0" w:color="auto"/>
            <w:right w:val="none" w:sz="0" w:space="0" w:color="auto"/>
          </w:divBdr>
          <w:divsChild>
            <w:div w:id="1159073472">
              <w:marLeft w:val="0"/>
              <w:marRight w:val="0"/>
              <w:marTop w:val="0"/>
              <w:marBottom w:val="0"/>
              <w:divBdr>
                <w:top w:val="none" w:sz="0" w:space="0" w:color="auto"/>
                <w:left w:val="none" w:sz="0" w:space="0" w:color="auto"/>
                <w:bottom w:val="none" w:sz="0" w:space="0" w:color="auto"/>
                <w:right w:val="none" w:sz="0" w:space="0" w:color="auto"/>
              </w:divBdr>
              <w:divsChild>
                <w:div w:id="7736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82123">
      <w:bodyDiv w:val="1"/>
      <w:marLeft w:val="0"/>
      <w:marRight w:val="0"/>
      <w:marTop w:val="0"/>
      <w:marBottom w:val="0"/>
      <w:divBdr>
        <w:top w:val="none" w:sz="0" w:space="0" w:color="auto"/>
        <w:left w:val="none" w:sz="0" w:space="0" w:color="auto"/>
        <w:bottom w:val="none" w:sz="0" w:space="0" w:color="auto"/>
        <w:right w:val="none" w:sz="0" w:space="0" w:color="auto"/>
      </w:divBdr>
      <w:divsChild>
        <w:div w:id="1864201417">
          <w:marLeft w:val="0"/>
          <w:marRight w:val="0"/>
          <w:marTop w:val="0"/>
          <w:marBottom w:val="0"/>
          <w:divBdr>
            <w:top w:val="none" w:sz="0" w:space="0" w:color="auto"/>
            <w:left w:val="none" w:sz="0" w:space="0" w:color="auto"/>
            <w:bottom w:val="none" w:sz="0" w:space="0" w:color="auto"/>
            <w:right w:val="none" w:sz="0" w:space="0" w:color="auto"/>
          </w:divBdr>
          <w:divsChild>
            <w:div w:id="321617311">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0327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111916">
      <w:bodyDiv w:val="1"/>
      <w:marLeft w:val="0"/>
      <w:marRight w:val="0"/>
      <w:marTop w:val="0"/>
      <w:marBottom w:val="0"/>
      <w:divBdr>
        <w:top w:val="none" w:sz="0" w:space="0" w:color="auto"/>
        <w:left w:val="none" w:sz="0" w:space="0" w:color="auto"/>
        <w:bottom w:val="none" w:sz="0" w:space="0" w:color="auto"/>
        <w:right w:val="none" w:sz="0" w:space="0" w:color="auto"/>
      </w:divBdr>
      <w:divsChild>
        <w:div w:id="626278584">
          <w:marLeft w:val="0"/>
          <w:marRight w:val="0"/>
          <w:marTop w:val="0"/>
          <w:marBottom w:val="0"/>
          <w:divBdr>
            <w:top w:val="none" w:sz="0" w:space="0" w:color="auto"/>
            <w:left w:val="none" w:sz="0" w:space="0" w:color="auto"/>
            <w:bottom w:val="none" w:sz="0" w:space="0" w:color="auto"/>
            <w:right w:val="none" w:sz="0" w:space="0" w:color="auto"/>
          </w:divBdr>
          <w:divsChild>
            <w:div w:id="926578901">
              <w:marLeft w:val="0"/>
              <w:marRight w:val="0"/>
              <w:marTop w:val="0"/>
              <w:marBottom w:val="0"/>
              <w:divBdr>
                <w:top w:val="none" w:sz="0" w:space="0" w:color="auto"/>
                <w:left w:val="none" w:sz="0" w:space="0" w:color="auto"/>
                <w:bottom w:val="none" w:sz="0" w:space="0" w:color="auto"/>
                <w:right w:val="none" w:sz="0" w:space="0" w:color="auto"/>
              </w:divBdr>
              <w:divsChild>
                <w:div w:id="3415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222">
      <w:bodyDiv w:val="1"/>
      <w:marLeft w:val="0"/>
      <w:marRight w:val="0"/>
      <w:marTop w:val="0"/>
      <w:marBottom w:val="0"/>
      <w:divBdr>
        <w:top w:val="none" w:sz="0" w:space="0" w:color="auto"/>
        <w:left w:val="none" w:sz="0" w:space="0" w:color="auto"/>
        <w:bottom w:val="none" w:sz="0" w:space="0" w:color="auto"/>
        <w:right w:val="none" w:sz="0" w:space="0" w:color="auto"/>
      </w:divBdr>
      <w:divsChild>
        <w:div w:id="1127502203">
          <w:marLeft w:val="0"/>
          <w:marRight w:val="0"/>
          <w:marTop w:val="0"/>
          <w:marBottom w:val="0"/>
          <w:divBdr>
            <w:top w:val="none" w:sz="0" w:space="0" w:color="auto"/>
            <w:left w:val="none" w:sz="0" w:space="0" w:color="auto"/>
            <w:bottom w:val="none" w:sz="0" w:space="0" w:color="auto"/>
            <w:right w:val="none" w:sz="0" w:space="0" w:color="auto"/>
          </w:divBdr>
          <w:divsChild>
            <w:div w:id="1418595994">
              <w:marLeft w:val="0"/>
              <w:marRight w:val="0"/>
              <w:marTop w:val="0"/>
              <w:marBottom w:val="0"/>
              <w:divBdr>
                <w:top w:val="none" w:sz="0" w:space="0" w:color="auto"/>
                <w:left w:val="none" w:sz="0" w:space="0" w:color="auto"/>
                <w:bottom w:val="none" w:sz="0" w:space="0" w:color="auto"/>
                <w:right w:val="none" w:sz="0" w:space="0" w:color="auto"/>
              </w:divBdr>
              <w:divsChild>
                <w:div w:id="9856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Sylvia Read</cp:lastModifiedBy>
  <cp:revision>2</cp:revision>
  <cp:lastPrinted>2018-02-22T15:26:00Z</cp:lastPrinted>
  <dcterms:created xsi:type="dcterms:W3CDTF">2018-11-01T20:54:00Z</dcterms:created>
  <dcterms:modified xsi:type="dcterms:W3CDTF">2018-11-01T20:54:00Z</dcterms:modified>
</cp:coreProperties>
</file>