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D808C" w14:textId="55F40721" w:rsidR="004F277E" w:rsidRPr="004F277E" w:rsidRDefault="00B0694B" w:rsidP="19363735">
      <w:pPr>
        <w:spacing w:after="0"/>
        <w:jc w:val="center"/>
        <w:rPr>
          <w:rFonts w:ascii="Arial" w:eastAsia="Arial" w:hAnsi="Arial" w:cs="Arial"/>
          <w:b/>
          <w:bCs/>
          <w:sz w:val="28"/>
          <w:szCs w:val="28"/>
        </w:rPr>
      </w:pPr>
      <w:bookmarkStart w:id="0" w:name="_GoBack"/>
      <w:bookmarkEnd w:id="0"/>
      <w:r>
        <w:rPr>
          <w:rFonts w:ascii="Arial" w:eastAsia="Arial" w:hAnsi="Arial" w:cs="Arial"/>
          <w:b/>
          <w:bCs/>
          <w:sz w:val="28"/>
          <w:szCs w:val="28"/>
        </w:rPr>
        <w:t>Bachelor of Science (BS)</w:t>
      </w:r>
      <w:r w:rsidR="19363735" w:rsidRPr="19363735">
        <w:rPr>
          <w:rFonts w:ascii="Arial" w:eastAsia="Arial" w:hAnsi="Arial" w:cs="Arial"/>
          <w:b/>
          <w:bCs/>
          <w:sz w:val="28"/>
          <w:szCs w:val="28"/>
        </w:rPr>
        <w:t xml:space="preserve"> degree in Health Education and Promotion: </w:t>
      </w:r>
    </w:p>
    <w:p w14:paraId="24A12F48" w14:textId="4B3B06B4" w:rsidR="00B5489E" w:rsidRPr="004F277E" w:rsidRDefault="19363735" w:rsidP="19363735">
      <w:pPr>
        <w:spacing w:after="0"/>
        <w:jc w:val="center"/>
        <w:rPr>
          <w:rFonts w:ascii="Arial" w:eastAsia="Arial" w:hAnsi="Arial" w:cs="Arial"/>
          <w:b/>
          <w:bCs/>
          <w:sz w:val="28"/>
          <w:szCs w:val="28"/>
        </w:rPr>
      </w:pPr>
      <w:r w:rsidRPr="19363735">
        <w:rPr>
          <w:rFonts w:ascii="Arial" w:eastAsia="Arial" w:hAnsi="Arial" w:cs="Arial"/>
          <w:b/>
          <w:bCs/>
          <w:sz w:val="28"/>
          <w:szCs w:val="28"/>
        </w:rPr>
        <w:t>Student Learning Outcome Data Collection</w:t>
      </w:r>
    </w:p>
    <w:p w14:paraId="41A1F9BF" w14:textId="77777777" w:rsidR="004F277E" w:rsidRDefault="004F277E" w:rsidP="19363735">
      <w:pPr>
        <w:spacing w:after="0"/>
        <w:rPr>
          <w:rFonts w:ascii="Arial" w:eastAsia="Arial" w:hAnsi="Arial" w:cs="Arial"/>
          <w:sz w:val="24"/>
          <w:szCs w:val="24"/>
        </w:rPr>
      </w:pPr>
    </w:p>
    <w:p w14:paraId="65E8DB63" w14:textId="7D08E340" w:rsidR="00717296" w:rsidRPr="000E7112" w:rsidRDefault="6E58988B" w:rsidP="6E58988B">
      <w:pPr>
        <w:spacing w:line="240" w:lineRule="auto"/>
        <w:rPr>
          <w:rFonts w:ascii="Arial" w:eastAsia="Arial" w:hAnsi="Arial" w:cs="Arial"/>
        </w:rPr>
      </w:pPr>
      <w:r w:rsidRPr="6E58988B">
        <w:rPr>
          <w:rFonts w:ascii="Arial" w:eastAsia="Arial" w:hAnsi="Arial" w:cs="Arial"/>
        </w:rPr>
        <w:t>The BS HEP program has a rigorous data collection and review process which is guided by criteria from an accreditation body, Council on Education for Public Health (CEPH). Starting in May 2024, from the perspective of CEPH, the BS and MPH are assessed as a unified Public Health Program (PHP) and so governance, processes, assessment, decisions, etc. are carried out in a unified manner and do not operate separately. With both programs, data collection is ongoing, including annual reviews, a self-study submission every 5 years and a site visit by CEPH every 5 years. CEPH criteria require the PHP program to engage in regular and substantive review of data collected and regular discussions to make data-driven quality improvements. The PHP program’s defined measures must align with our vision, mission and goals; which are reviewed annually at the PHP faculty summer retreat to ensure our program aligns with current updated public health practices and that our students are prepared to work successfully in the public health sector. Foundational competencies and concentration competencies are mastered through specified assignments, projects, and/or exam questions. Methods of other data collection include: Qualtrics surveys, focus groups, peer review of courses, emails, phone interviews. Data are collected from: students, alumni, faculty and staff, the MPH Advisory Board, alumni employers, health departments, and other external stakeholders. Results are discussed at monthly PHP faculty meetings or at the PHP faculty summer retreat. Assessment of collected data are discussed during faculty meetings either confirm that course instruction is aligned with program goals or shows a need to alter course materials. As needed, updates to courses are discussed in detail and then voted by all faculty to ensure that improvements will maintain alignment with the PHP Mission and Goals and therefore align with meeting PHP students’ needs.</w:t>
      </w:r>
    </w:p>
    <w:p w14:paraId="212FBDC0" w14:textId="33F91B12" w:rsidR="00651F24" w:rsidRDefault="57ECF5A2" w:rsidP="19363735">
      <w:pPr>
        <w:spacing w:line="240" w:lineRule="auto"/>
        <w:rPr>
          <w:rFonts w:ascii="Arial" w:eastAsia="Arial" w:hAnsi="Arial" w:cs="Arial"/>
        </w:rPr>
      </w:pPr>
      <w:r w:rsidRPr="57ECF5A2">
        <w:rPr>
          <w:rFonts w:ascii="Arial" w:eastAsia="Arial" w:hAnsi="Arial" w:cs="Arial"/>
        </w:rPr>
        <w:t xml:space="preserve">Council on Education for Public Health (CEPH) accreditation criteria, specifically Template B5-1 shows evaluation measures, </w:t>
      </w:r>
      <w:r w:rsidR="00B0694B">
        <w:rPr>
          <w:rFonts w:ascii="Arial" w:eastAsia="Arial" w:hAnsi="Arial" w:cs="Arial"/>
        </w:rPr>
        <w:t>d</w:t>
      </w:r>
      <w:r w:rsidRPr="57ECF5A2">
        <w:rPr>
          <w:rFonts w:ascii="Arial" w:eastAsia="Arial" w:hAnsi="Arial" w:cs="Arial"/>
        </w:rPr>
        <w:t>ata source(s) and describe</w:t>
      </w:r>
      <w:r w:rsidR="00B0694B">
        <w:rPr>
          <w:rFonts w:ascii="Arial" w:eastAsia="Arial" w:hAnsi="Arial" w:cs="Arial"/>
        </w:rPr>
        <w:t>s</w:t>
      </w:r>
      <w:r w:rsidRPr="57ECF5A2">
        <w:rPr>
          <w:rFonts w:ascii="Arial" w:eastAsia="Arial" w:hAnsi="Arial" w:cs="Arial"/>
        </w:rPr>
        <w:t xml:space="preserve"> how raw data are analyzed and presented for decision making, responsibility for review, CEPH self-study section. The following excerpt is from the </w:t>
      </w:r>
      <w:r w:rsidRPr="00991A71">
        <w:rPr>
          <w:rFonts w:ascii="Arial" w:eastAsia="Arial" w:hAnsi="Arial" w:cs="Arial"/>
          <w:b/>
          <w:bCs/>
          <w:i/>
          <w:iCs/>
        </w:rPr>
        <w:t>MPH HEP 2022 self-study</w:t>
      </w:r>
      <w:r w:rsidRPr="57ECF5A2">
        <w:rPr>
          <w:rFonts w:ascii="Arial" w:eastAsia="Arial" w:hAnsi="Arial" w:cs="Arial"/>
        </w:rPr>
        <w:t xml:space="preserve">, Template B5-1 has been updated to Template B2-1 for the 2027 self-study and is currently under review and will be updated to ensure the </w:t>
      </w:r>
      <w:r w:rsidR="00B0694B">
        <w:rPr>
          <w:rFonts w:ascii="Arial" w:eastAsia="Arial" w:hAnsi="Arial" w:cs="Arial"/>
        </w:rPr>
        <w:t>PHP</w:t>
      </w:r>
      <w:r w:rsidRPr="57ECF5A2">
        <w:rPr>
          <w:rFonts w:ascii="Arial" w:eastAsia="Arial" w:hAnsi="Arial" w:cs="Arial"/>
        </w:rPr>
        <w:t xml:space="preserve"> HEP data sources and collection are meaningful and usefu</w:t>
      </w:r>
      <w:r w:rsidR="00991A71">
        <w:rPr>
          <w:rFonts w:ascii="Arial" w:eastAsia="Arial" w:hAnsi="Arial" w:cs="Arial"/>
        </w:rPr>
        <w:t xml:space="preserve">l. References to the MPH program will and do apply to both the MPH and BS programs now that we have been designated a combined Public Health Program (PHP) by CEPH. The listed evaluation measure in Template B5-1 that doesn’t apply to the BS HEP program is the APE </w:t>
      </w:r>
      <w:r w:rsidR="00FE6FE5">
        <w:rPr>
          <w:rFonts w:ascii="Arial" w:eastAsia="Arial" w:hAnsi="Arial" w:cs="Arial"/>
        </w:rPr>
        <w:t xml:space="preserve">experience and the connected APE preceptor evaluation. The APE experience is unique to the MPH.  </w:t>
      </w:r>
    </w:p>
    <w:p w14:paraId="4BA9B3B7" w14:textId="48604A2C" w:rsidR="00991A71" w:rsidRDefault="00991A71">
      <w:pPr>
        <w:rPr>
          <w:rFonts w:ascii="Arial" w:eastAsia="Arial" w:hAnsi="Arial" w:cs="Arial"/>
        </w:rPr>
      </w:pPr>
      <w:r>
        <w:rPr>
          <w:rFonts w:ascii="Arial" w:eastAsia="Arial" w:hAnsi="Arial" w:cs="Arial"/>
        </w:rPr>
        <w:br w:type="page"/>
      </w:r>
    </w:p>
    <w:p w14:paraId="39E3B25A" w14:textId="4E284E0A" w:rsidR="000155BB" w:rsidRPr="000155BB" w:rsidRDefault="19363735" w:rsidP="19363735">
      <w:pPr>
        <w:spacing w:line="240" w:lineRule="auto"/>
        <w:ind w:left="630" w:hanging="630"/>
        <w:rPr>
          <w:rFonts w:ascii="Arial" w:eastAsia="Arial" w:hAnsi="Arial" w:cs="Arial"/>
          <w:b/>
          <w:bCs/>
        </w:rPr>
      </w:pPr>
      <w:r w:rsidRPr="19363735">
        <w:rPr>
          <w:rFonts w:ascii="Arial" w:eastAsia="Arial" w:hAnsi="Arial" w:cs="Arial"/>
          <w:b/>
          <w:bCs/>
        </w:rPr>
        <w:lastRenderedPageBreak/>
        <w:t>B5-1.</w:t>
      </w:r>
      <w:r w:rsidR="000155BB">
        <w:tab/>
      </w:r>
      <w:r w:rsidRPr="19363735">
        <w:rPr>
          <w:rFonts w:ascii="Arial" w:eastAsia="Arial" w:hAnsi="Arial" w:cs="Arial"/>
          <w:b/>
          <w:bCs/>
        </w:rPr>
        <w:t xml:space="preserve">Present an evaluation plan that, at a minimum, lists the program’s evaluation measures, methods and parties responsible for review. See Template B5-1. </w:t>
      </w:r>
    </w:p>
    <w:p w14:paraId="37DE227F" w14:textId="106A1973" w:rsidR="000155BB" w:rsidRDefault="19363735" w:rsidP="19363735">
      <w:pPr>
        <w:spacing w:after="0"/>
        <w:ind w:left="630"/>
        <w:rPr>
          <w:rFonts w:ascii="Arial" w:eastAsia="Arial" w:hAnsi="Arial" w:cs="Arial"/>
        </w:rPr>
      </w:pPr>
      <w:r w:rsidRPr="19363735">
        <w:rPr>
          <w:rFonts w:ascii="Arial" w:eastAsia="Arial" w:hAnsi="Arial" w:cs="Arial"/>
        </w:rPr>
        <w:t>The HEP MPH program’s evaluation plan uses a variety of methods to gather, assess, analyze, and report on program outcomes. These results are used to provide insights into aspects where the program is doing well; needed changes to advance the field of public health; and better ways to promote student success. The evaluation plan is a living document that has evolved since the inception of the degree in Fall 2017. The evaluation plan has been developed with HEP MPH faculty, student, alumni, and stakeholder input. The HEP MPH Director bears the primary responsibility for the development and implementation of data collection tools. Various HEP MPH committees are also critical to ensure data are collected, analyzed, and reported to the full faculty. These data then become the basis for any changes needed to improve the program. The data collection plan can be found in the ERF.</w:t>
      </w:r>
    </w:p>
    <w:p w14:paraId="515F0527" w14:textId="75276CD9" w:rsidR="000E7112" w:rsidRDefault="000E7112"/>
    <w:p w14:paraId="7C5ED798" w14:textId="77777777" w:rsidR="000E7112" w:rsidRPr="000155BB" w:rsidRDefault="000E7112" w:rsidP="000E7112">
      <w:pPr>
        <w:spacing w:after="0"/>
        <w:ind w:left="630"/>
      </w:pPr>
    </w:p>
    <w:tbl>
      <w:tblPr>
        <w:tblW w:w="9180" w:type="dxa"/>
        <w:tblLook w:val="04A0" w:firstRow="1" w:lastRow="0" w:firstColumn="1" w:lastColumn="0" w:noHBand="0" w:noVBand="1"/>
      </w:tblPr>
      <w:tblGrid>
        <w:gridCol w:w="3150"/>
        <w:gridCol w:w="2430"/>
        <w:gridCol w:w="2260"/>
        <w:gridCol w:w="1340"/>
      </w:tblGrid>
      <w:tr w:rsidR="000155BB" w:rsidRPr="000155BB" w14:paraId="74633E6C" w14:textId="77777777" w:rsidTr="000E7112">
        <w:trPr>
          <w:trHeight w:val="255"/>
        </w:trPr>
        <w:tc>
          <w:tcPr>
            <w:tcW w:w="3150" w:type="dxa"/>
            <w:tcBorders>
              <w:top w:val="nil"/>
              <w:left w:val="nil"/>
              <w:bottom w:val="nil"/>
              <w:right w:val="nil"/>
            </w:tcBorders>
            <w:noWrap/>
            <w:hideMark/>
          </w:tcPr>
          <w:p w14:paraId="36540930"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Template B5-1</w:t>
            </w:r>
          </w:p>
        </w:tc>
        <w:tc>
          <w:tcPr>
            <w:tcW w:w="2430" w:type="dxa"/>
            <w:tcBorders>
              <w:top w:val="nil"/>
              <w:left w:val="nil"/>
              <w:bottom w:val="nil"/>
              <w:right w:val="nil"/>
            </w:tcBorders>
            <w:noWrap/>
            <w:hideMark/>
          </w:tcPr>
          <w:p w14:paraId="50F13633" w14:textId="77777777" w:rsidR="000155BB" w:rsidRPr="000155BB" w:rsidRDefault="000155BB" w:rsidP="000155BB">
            <w:pPr>
              <w:spacing w:after="0" w:line="240" w:lineRule="auto"/>
              <w:rPr>
                <w:rFonts w:ascii="Arial" w:eastAsia="Times New Roman" w:hAnsi="Arial" w:cs="Arial"/>
                <w:b/>
                <w:bCs/>
                <w:color w:val="000000"/>
                <w:sz w:val="18"/>
                <w:szCs w:val="18"/>
              </w:rPr>
            </w:pPr>
          </w:p>
        </w:tc>
        <w:tc>
          <w:tcPr>
            <w:tcW w:w="2260" w:type="dxa"/>
            <w:tcBorders>
              <w:top w:val="nil"/>
              <w:left w:val="nil"/>
              <w:bottom w:val="nil"/>
              <w:right w:val="nil"/>
            </w:tcBorders>
            <w:noWrap/>
            <w:hideMark/>
          </w:tcPr>
          <w:p w14:paraId="50B93278" w14:textId="77777777" w:rsidR="000155BB" w:rsidRPr="000155BB" w:rsidRDefault="000155BB" w:rsidP="000155BB">
            <w:pPr>
              <w:spacing w:after="0" w:line="240" w:lineRule="auto"/>
              <w:rPr>
                <w:rFonts w:ascii="Times New Roman" w:eastAsia="Times New Roman" w:hAnsi="Times New Roman" w:cs="Times New Roman"/>
                <w:sz w:val="18"/>
                <w:szCs w:val="18"/>
              </w:rPr>
            </w:pPr>
          </w:p>
        </w:tc>
        <w:tc>
          <w:tcPr>
            <w:tcW w:w="1340" w:type="dxa"/>
            <w:tcBorders>
              <w:top w:val="nil"/>
              <w:left w:val="nil"/>
              <w:bottom w:val="nil"/>
              <w:right w:val="nil"/>
            </w:tcBorders>
            <w:noWrap/>
            <w:vAlign w:val="center"/>
            <w:hideMark/>
          </w:tcPr>
          <w:p w14:paraId="6BD20DAB" w14:textId="77777777" w:rsidR="000155BB" w:rsidRPr="000155BB" w:rsidRDefault="000155BB" w:rsidP="000155BB">
            <w:pPr>
              <w:spacing w:after="0" w:line="240" w:lineRule="auto"/>
              <w:rPr>
                <w:rFonts w:ascii="Times New Roman" w:eastAsia="Times New Roman" w:hAnsi="Times New Roman" w:cs="Times New Roman"/>
                <w:sz w:val="18"/>
                <w:szCs w:val="18"/>
              </w:rPr>
            </w:pPr>
          </w:p>
        </w:tc>
      </w:tr>
      <w:tr w:rsidR="000155BB" w:rsidRPr="000E7112" w14:paraId="583D17A2" w14:textId="77777777" w:rsidTr="000E7112">
        <w:trPr>
          <w:trHeight w:val="1275"/>
        </w:trPr>
        <w:tc>
          <w:tcPr>
            <w:tcW w:w="3150" w:type="dxa"/>
            <w:tcBorders>
              <w:top w:val="single" w:sz="4" w:space="0" w:color="auto"/>
              <w:left w:val="single" w:sz="4" w:space="0" w:color="auto"/>
              <w:bottom w:val="single" w:sz="4" w:space="0" w:color="auto"/>
              <w:right w:val="single" w:sz="4" w:space="0" w:color="auto"/>
            </w:tcBorders>
            <w:shd w:val="clear" w:color="auto" w:fill="BFBFBF"/>
            <w:noWrap/>
            <w:hideMark/>
          </w:tcPr>
          <w:p w14:paraId="1E5EA541"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Evaluation measures</w:t>
            </w:r>
          </w:p>
        </w:tc>
        <w:tc>
          <w:tcPr>
            <w:tcW w:w="2430" w:type="dxa"/>
            <w:tcBorders>
              <w:top w:val="single" w:sz="4" w:space="0" w:color="auto"/>
              <w:left w:val="nil"/>
              <w:bottom w:val="single" w:sz="4" w:space="0" w:color="auto"/>
              <w:right w:val="single" w:sz="4" w:space="0" w:color="auto"/>
            </w:tcBorders>
            <w:shd w:val="clear" w:color="auto" w:fill="BFBFBF"/>
            <w:hideMark/>
          </w:tcPr>
          <w:p w14:paraId="2FF6775F"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Identify data source(s) and describe how raw data are analyzed and presented for decision making</w:t>
            </w:r>
          </w:p>
        </w:tc>
        <w:tc>
          <w:tcPr>
            <w:tcW w:w="2260" w:type="dxa"/>
            <w:tcBorders>
              <w:top w:val="single" w:sz="4" w:space="0" w:color="auto"/>
              <w:left w:val="nil"/>
              <w:bottom w:val="single" w:sz="4" w:space="0" w:color="auto"/>
              <w:right w:val="single" w:sz="4" w:space="0" w:color="auto"/>
            </w:tcBorders>
            <w:shd w:val="clear" w:color="auto" w:fill="BFBFBF"/>
            <w:hideMark/>
          </w:tcPr>
          <w:p w14:paraId="1D4E394D"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Responsibility for review</w:t>
            </w:r>
          </w:p>
        </w:tc>
        <w:tc>
          <w:tcPr>
            <w:tcW w:w="1340" w:type="dxa"/>
            <w:tcBorders>
              <w:top w:val="single" w:sz="4" w:space="0" w:color="auto"/>
              <w:left w:val="nil"/>
              <w:bottom w:val="single" w:sz="4" w:space="0" w:color="auto"/>
              <w:right w:val="single" w:sz="4" w:space="0" w:color="auto"/>
            </w:tcBorders>
            <w:shd w:val="clear" w:color="auto" w:fill="BFBFBF"/>
            <w:hideMark/>
          </w:tcPr>
          <w:p w14:paraId="5CF904E1"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Relates to Sections:</w:t>
            </w:r>
          </w:p>
        </w:tc>
      </w:tr>
      <w:tr w:rsidR="000155BB" w:rsidRPr="000155BB" w14:paraId="0891E1BB" w14:textId="77777777" w:rsidTr="000E7112">
        <w:trPr>
          <w:trHeight w:val="570"/>
        </w:trPr>
        <w:tc>
          <w:tcPr>
            <w:tcW w:w="9180" w:type="dxa"/>
            <w:gridSpan w:val="4"/>
            <w:tcBorders>
              <w:top w:val="single" w:sz="4" w:space="0" w:color="auto"/>
              <w:left w:val="single" w:sz="4" w:space="0" w:color="auto"/>
              <w:bottom w:val="single" w:sz="4" w:space="0" w:color="000000"/>
              <w:right w:val="single" w:sz="4" w:space="0" w:color="000000"/>
            </w:tcBorders>
            <w:shd w:val="clear" w:color="auto" w:fill="D9D9D9"/>
            <w:hideMark/>
          </w:tcPr>
          <w:p w14:paraId="3AC09145"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 xml:space="preserve">Goal 1: Provide access to public health education to underserved populations (Access and Outreach Goal). </w:t>
            </w:r>
          </w:p>
        </w:tc>
      </w:tr>
      <w:tr w:rsidR="000155BB" w:rsidRPr="000155BB" w14:paraId="136C1904" w14:textId="77777777" w:rsidTr="00B62ECC">
        <w:trPr>
          <w:trHeight w:val="1358"/>
        </w:trPr>
        <w:tc>
          <w:tcPr>
            <w:tcW w:w="3150" w:type="dxa"/>
            <w:tcBorders>
              <w:top w:val="nil"/>
              <w:left w:val="single" w:sz="4" w:space="0" w:color="auto"/>
              <w:bottom w:val="single" w:sz="4" w:space="0" w:color="auto"/>
              <w:right w:val="single" w:sz="4" w:space="0" w:color="auto"/>
            </w:tcBorders>
            <w:vAlign w:val="center"/>
            <w:hideMark/>
          </w:tcPr>
          <w:p w14:paraId="5F8D785B"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Enroll students from underserved populations as defined as rural, non-traditional, and people of color</w:t>
            </w:r>
          </w:p>
        </w:tc>
        <w:tc>
          <w:tcPr>
            <w:tcW w:w="2430" w:type="dxa"/>
            <w:tcBorders>
              <w:top w:val="nil"/>
              <w:left w:val="nil"/>
              <w:bottom w:val="single" w:sz="4" w:space="0" w:color="auto"/>
              <w:right w:val="single" w:sz="4" w:space="0" w:color="auto"/>
            </w:tcBorders>
            <w:vAlign w:val="center"/>
            <w:hideMark/>
          </w:tcPr>
          <w:p w14:paraId="514F2874" w14:textId="77777777" w:rsidR="000155BB" w:rsidRPr="000155BB" w:rsidRDefault="000155BB" w:rsidP="000155BB">
            <w:pPr>
              <w:spacing w:after="0" w:line="240" w:lineRule="auto"/>
              <w:rPr>
                <w:rFonts w:ascii="Arial" w:eastAsia="Times New Roman" w:hAnsi="Arial" w:cs="Arial"/>
                <w:color w:val="000000"/>
                <w:sz w:val="18"/>
                <w:szCs w:val="18"/>
              </w:rPr>
            </w:pPr>
            <w:bookmarkStart w:id="1" w:name="_Hlk86909849"/>
            <w:r w:rsidRPr="000155BB">
              <w:rPr>
                <w:rFonts w:ascii="Arial" w:eastAsia="Times New Roman" w:hAnsi="Arial" w:cs="Arial"/>
                <w:color w:val="000000"/>
                <w:sz w:val="18"/>
                <w:szCs w:val="18"/>
              </w:rPr>
              <w:t xml:space="preserve">Demographic data of students from </w:t>
            </w:r>
            <w:proofErr w:type="spellStart"/>
            <w:r w:rsidRPr="000155BB">
              <w:rPr>
                <w:rFonts w:ascii="Arial" w:eastAsia="Times New Roman" w:hAnsi="Arial" w:cs="Arial"/>
                <w:color w:val="000000"/>
                <w:sz w:val="18"/>
                <w:szCs w:val="18"/>
              </w:rPr>
              <w:t>eGrad</w:t>
            </w:r>
            <w:proofErr w:type="spellEnd"/>
            <w:r w:rsidRPr="000155BB">
              <w:rPr>
                <w:rFonts w:ascii="Arial" w:eastAsia="Times New Roman" w:hAnsi="Arial" w:cs="Arial"/>
                <w:color w:val="000000"/>
                <w:sz w:val="18"/>
                <w:szCs w:val="18"/>
              </w:rPr>
              <w:t xml:space="preserve"> and Argos</w:t>
            </w:r>
            <w:bookmarkEnd w:id="1"/>
          </w:p>
        </w:tc>
        <w:tc>
          <w:tcPr>
            <w:tcW w:w="2260" w:type="dxa"/>
            <w:tcBorders>
              <w:top w:val="nil"/>
              <w:left w:val="nil"/>
              <w:bottom w:val="single" w:sz="4" w:space="0" w:color="auto"/>
              <w:right w:val="single" w:sz="4" w:space="0" w:color="auto"/>
            </w:tcBorders>
            <w:vAlign w:val="center"/>
            <w:hideMark/>
          </w:tcPr>
          <w:p w14:paraId="64CFCB78"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Application Committee report at faculty retreat</w:t>
            </w:r>
          </w:p>
        </w:tc>
        <w:tc>
          <w:tcPr>
            <w:tcW w:w="1340" w:type="dxa"/>
            <w:tcBorders>
              <w:top w:val="nil"/>
              <w:left w:val="nil"/>
              <w:bottom w:val="single" w:sz="4" w:space="0" w:color="auto"/>
              <w:right w:val="single" w:sz="4" w:space="0" w:color="auto"/>
            </w:tcBorders>
            <w:vAlign w:val="center"/>
            <w:hideMark/>
          </w:tcPr>
          <w:p w14:paraId="12BDB8ED"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H4 and G1 correlates</w:t>
            </w:r>
            <w:r w:rsidRPr="000155BB">
              <w:rPr>
                <w:rFonts w:ascii="Arial" w:eastAsia="Times New Roman" w:hAnsi="Arial" w:cs="Arial"/>
                <w:color w:val="000000"/>
                <w:sz w:val="18"/>
                <w:szCs w:val="18"/>
              </w:rPr>
              <w:br/>
              <w:t>H4.1 and H4.1 template (H4.3)</w:t>
            </w:r>
          </w:p>
        </w:tc>
      </w:tr>
      <w:tr w:rsidR="000155BB" w:rsidRPr="000155BB" w14:paraId="3F154262" w14:textId="77777777" w:rsidTr="000E7112">
        <w:trPr>
          <w:trHeight w:val="1065"/>
        </w:trPr>
        <w:tc>
          <w:tcPr>
            <w:tcW w:w="3150" w:type="dxa"/>
            <w:tcBorders>
              <w:top w:val="nil"/>
              <w:left w:val="single" w:sz="4" w:space="0" w:color="auto"/>
              <w:bottom w:val="single" w:sz="4" w:space="0" w:color="auto"/>
              <w:right w:val="single" w:sz="4" w:space="0" w:color="auto"/>
            </w:tcBorders>
            <w:vAlign w:val="center"/>
            <w:hideMark/>
          </w:tcPr>
          <w:p w14:paraId="35087BC8"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Recruits underserved students through attendance at state public health conferences and other recruitment events</w:t>
            </w:r>
          </w:p>
        </w:tc>
        <w:tc>
          <w:tcPr>
            <w:tcW w:w="2430" w:type="dxa"/>
            <w:tcBorders>
              <w:top w:val="nil"/>
              <w:left w:val="nil"/>
              <w:bottom w:val="single" w:sz="4" w:space="0" w:color="auto"/>
              <w:right w:val="single" w:sz="4" w:space="0" w:color="auto"/>
            </w:tcBorders>
            <w:vAlign w:val="center"/>
            <w:hideMark/>
          </w:tcPr>
          <w:p w14:paraId="21816C84" w14:textId="77777777" w:rsidR="000155BB" w:rsidRPr="000155BB" w:rsidRDefault="000155BB" w:rsidP="000155BB">
            <w:pPr>
              <w:spacing w:after="0" w:line="240" w:lineRule="auto"/>
              <w:rPr>
                <w:rFonts w:ascii="Arial" w:eastAsia="Times New Roman" w:hAnsi="Arial" w:cs="Arial"/>
                <w:color w:val="000000"/>
                <w:sz w:val="18"/>
                <w:szCs w:val="18"/>
              </w:rPr>
            </w:pPr>
            <w:bookmarkStart w:id="2" w:name="_Hlk86909980"/>
            <w:r w:rsidRPr="000155BB">
              <w:rPr>
                <w:rFonts w:ascii="Arial" w:eastAsia="Times New Roman" w:hAnsi="Arial" w:cs="Arial"/>
                <w:color w:val="000000"/>
                <w:sz w:val="18"/>
                <w:szCs w:val="18"/>
              </w:rPr>
              <w:t>Registration and sponsorship at recruitment events</w:t>
            </w:r>
            <w:bookmarkEnd w:id="2"/>
          </w:p>
        </w:tc>
        <w:tc>
          <w:tcPr>
            <w:tcW w:w="2260" w:type="dxa"/>
            <w:tcBorders>
              <w:top w:val="nil"/>
              <w:left w:val="nil"/>
              <w:bottom w:val="single" w:sz="4" w:space="0" w:color="auto"/>
              <w:right w:val="single" w:sz="4" w:space="0" w:color="auto"/>
            </w:tcBorders>
            <w:vAlign w:val="center"/>
            <w:hideMark/>
          </w:tcPr>
          <w:p w14:paraId="7D2CDB04"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Director report at faculty retreat</w:t>
            </w:r>
          </w:p>
        </w:tc>
        <w:tc>
          <w:tcPr>
            <w:tcW w:w="1340" w:type="dxa"/>
            <w:tcBorders>
              <w:top w:val="nil"/>
              <w:left w:val="nil"/>
              <w:bottom w:val="single" w:sz="4" w:space="0" w:color="auto"/>
              <w:right w:val="single" w:sz="4" w:space="0" w:color="auto"/>
            </w:tcBorders>
            <w:vAlign w:val="center"/>
            <w:hideMark/>
          </w:tcPr>
          <w:p w14:paraId="3CDB2B34"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H4.1</w:t>
            </w:r>
          </w:p>
        </w:tc>
      </w:tr>
      <w:tr w:rsidR="000155BB" w:rsidRPr="000155BB" w14:paraId="4EB8088D" w14:textId="77777777" w:rsidTr="000E7112">
        <w:trPr>
          <w:trHeight w:val="825"/>
        </w:trPr>
        <w:tc>
          <w:tcPr>
            <w:tcW w:w="3150" w:type="dxa"/>
            <w:tcBorders>
              <w:top w:val="nil"/>
              <w:left w:val="single" w:sz="4" w:space="0" w:color="auto"/>
              <w:bottom w:val="single" w:sz="4" w:space="0" w:color="auto"/>
              <w:right w:val="single" w:sz="4" w:space="0" w:color="auto"/>
            </w:tcBorders>
            <w:vAlign w:val="center"/>
            <w:hideMark/>
          </w:tcPr>
          <w:p w14:paraId="2DA070EF"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Develop and utilize marketing plans that target underserved applicants</w:t>
            </w:r>
          </w:p>
        </w:tc>
        <w:tc>
          <w:tcPr>
            <w:tcW w:w="2430" w:type="dxa"/>
            <w:tcBorders>
              <w:top w:val="nil"/>
              <w:left w:val="nil"/>
              <w:bottom w:val="single" w:sz="4" w:space="0" w:color="auto"/>
              <w:right w:val="single" w:sz="4" w:space="0" w:color="auto"/>
            </w:tcBorders>
            <w:vAlign w:val="center"/>
            <w:hideMark/>
          </w:tcPr>
          <w:p w14:paraId="7F1957AA"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Marketing data and report</w:t>
            </w:r>
          </w:p>
        </w:tc>
        <w:tc>
          <w:tcPr>
            <w:tcW w:w="2260" w:type="dxa"/>
            <w:tcBorders>
              <w:top w:val="nil"/>
              <w:left w:val="nil"/>
              <w:bottom w:val="single" w:sz="4" w:space="0" w:color="auto"/>
              <w:right w:val="single" w:sz="4" w:space="0" w:color="auto"/>
            </w:tcBorders>
            <w:vAlign w:val="center"/>
            <w:hideMark/>
          </w:tcPr>
          <w:p w14:paraId="0A45029B"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Reviewed by director</w:t>
            </w:r>
          </w:p>
        </w:tc>
        <w:tc>
          <w:tcPr>
            <w:tcW w:w="1340" w:type="dxa"/>
            <w:tcBorders>
              <w:top w:val="nil"/>
              <w:left w:val="nil"/>
              <w:bottom w:val="single" w:sz="4" w:space="0" w:color="auto"/>
              <w:right w:val="single" w:sz="4" w:space="0" w:color="auto"/>
            </w:tcBorders>
            <w:vAlign w:val="center"/>
            <w:hideMark/>
          </w:tcPr>
          <w:p w14:paraId="1481B2E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H4 and G1.3</w:t>
            </w:r>
          </w:p>
        </w:tc>
      </w:tr>
      <w:tr w:rsidR="000155BB" w:rsidRPr="000155BB" w14:paraId="043BD1BD" w14:textId="77777777" w:rsidTr="000E7112">
        <w:trPr>
          <w:trHeight w:val="1020"/>
        </w:trPr>
        <w:tc>
          <w:tcPr>
            <w:tcW w:w="3150" w:type="dxa"/>
            <w:tcBorders>
              <w:top w:val="nil"/>
              <w:left w:val="single" w:sz="4" w:space="0" w:color="auto"/>
              <w:bottom w:val="single" w:sz="4" w:space="0" w:color="auto"/>
              <w:right w:val="single" w:sz="4" w:space="0" w:color="auto"/>
            </w:tcBorders>
            <w:vAlign w:val="center"/>
            <w:hideMark/>
          </w:tcPr>
          <w:p w14:paraId="052CE683"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Create and maintain a culturally competent environment to support student success</w:t>
            </w:r>
          </w:p>
        </w:tc>
        <w:tc>
          <w:tcPr>
            <w:tcW w:w="2430" w:type="dxa"/>
            <w:tcBorders>
              <w:top w:val="nil"/>
              <w:left w:val="nil"/>
              <w:bottom w:val="single" w:sz="4" w:space="0" w:color="auto"/>
              <w:right w:val="single" w:sz="4" w:space="0" w:color="auto"/>
            </w:tcBorders>
            <w:vAlign w:val="center"/>
            <w:hideMark/>
          </w:tcPr>
          <w:p w14:paraId="2693E88A"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 xml:space="preserve">Equity and implicit bias training for faculty and incoming students </w:t>
            </w:r>
          </w:p>
        </w:tc>
        <w:tc>
          <w:tcPr>
            <w:tcW w:w="2260" w:type="dxa"/>
            <w:tcBorders>
              <w:top w:val="nil"/>
              <w:left w:val="nil"/>
              <w:bottom w:val="single" w:sz="4" w:space="0" w:color="auto"/>
              <w:right w:val="single" w:sz="4" w:space="0" w:color="auto"/>
            </w:tcBorders>
            <w:vAlign w:val="center"/>
            <w:hideMark/>
          </w:tcPr>
          <w:p w14:paraId="134CAB6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Director report at faculty meeting</w:t>
            </w:r>
          </w:p>
        </w:tc>
        <w:tc>
          <w:tcPr>
            <w:tcW w:w="1340" w:type="dxa"/>
            <w:tcBorders>
              <w:top w:val="nil"/>
              <w:left w:val="nil"/>
              <w:bottom w:val="single" w:sz="4" w:space="0" w:color="auto"/>
              <w:right w:val="single" w:sz="4" w:space="0" w:color="auto"/>
            </w:tcBorders>
            <w:vAlign w:val="center"/>
            <w:hideMark/>
          </w:tcPr>
          <w:p w14:paraId="7F58943D"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G1.3 and G1.4</w:t>
            </w:r>
          </w:p>
        </w:tc>
      </w:tr>
    </w:tbl>
    <w:p w14:paraId="7EE03DED" w14:textId="16468798" w:rsidR="00991A71" w:rsidRDefault="00991A71">
      <w:pPr>
        <w:rPr>
          <w:sz w:val="24"/>
          <w:szCs w:val="24"/>
        </w:rPr>
      </w:pPr>
    </w:p>
    <w:p w14:paraId="2ACC828D" w14:textId="77777777" w:rsidR="00991A71" w:rsidRDefault="00991A71">
      <w:pPr>
        <w:rPr>
          <w:sz w:val="24"/>
          <w:szCs w:val="24"/>
        </w:rPr>
      </w:pPr>
      <w:r>
        <w:rPr>
          <w:sz w:val="24"/>
          <w:szCs w:val="24"/>
        </w:rPr>
        <w:br w:type="page"/>
      </w:r>
    </w:p>
    <w:tbl>
      <w:tblPr>
        <w:tblW w:w="9270" w:type="dxa"/>
        <w:tblInd w:w="-5" w:type="dxa"/>
        <w:tblLayout w:type="fixed"/>
        <w:tblLook w:val="04A0" w:firstRow="1" w:lastRow="0" w:firstColumn="1" w:lastColumn="0" w:noHBand="0" w:noVBand="1"/>
      </w:tblPr>
      <w:tblGrid>
        <w:gridCol w:w="3150"/>
        <w:gridCol w:w="2430"/>
        <w:gridCol w:w="2260"/>
        <w:gridCol w:w="1430"/>
      </w:tblGrid>
      <w:tr w:rsidR="000155BB" w:rsidRPr="000155BB" w14:paraId="33FC7D18" w14:textId="77777777" w:rsidTr="000E7112">
        <w:trPr>
          <w:trHeight w:val="525"/>
        </w:trPr>
        <w:tc>
          <w:tcPr>
            <w:tcW w:w="927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F629509"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lastRenderedPageBreak/>
              <w:t>Goal 2: Facilitate authentic high-quality learning opportunities that result in proficiency of public health foundational knowledge and competencies (Instructional Goal).</w:t>
            </w:r>
          </w:p>
        </w:tc>
      </w:tr>
      <w:tr w:rsidR="000155BB" w:rsidRPr="000155BB" w14:paraId="2F11DB45" w14:textId="77777777" w:rsidTr="00B62ECC">
        <w:trPr>
          <w:trHeight w:val="1457"/>
        </w:trPr>
        <w:tc>
          <w:tcPr>
            <w:tcW w:w="3150" w:type="dxa"/>
            <w:tcBorders>
              <w:top w:val="nil"/>
              <w:left w:val="single" w:sz="4" w:space="0" w:color="auto"/>
              <w:bottom w:val="single" w:sz="4" w:space="0" w:color="auto"/>
              <w:right w:val="single" w:sz="4" w:space="0" w:color="auto"/>
            </w:tcBorders>
            <w:hideMark/>
          </w:tcPr>
          <w:p w14:paraId="7857E14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courses contain authentic learning experiences</w:t>
            </w:r>
          </w:p>
        </w:tc>
        <w:tc>
          <w:tcPr>
            <w:tcW w:w="2430" w:type="dxa"/>
            <w:tcBorders>
              <w:top w:val="nil"/>
              <w:left w:val="nil"/>
              <w:bottom w:val="single" w:sz="4" w:space="0" w:color="auto"/>
              <w:right w:val="single" w:sz="4" w:space="0" w:color="auto"/>
            </w:tcBorders>
            <w:hideMark/>
          </w:tcPr>
          <w:p w14:paraId="5E6944CA" w14:textId="77777777" w:rsidR="000155BB" w:rsidRPr="000155BB" w:rsidRDefault="000155BB" w:rsidP="000155BB">
            <w:pPr>
              <w:spacing w:after="24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r w:rsidRPr="000155BB">
              <w:rPr>
                <w:rFonts w:ascii="Arial" w:eastAsia="Times New Roman" w:hAnsi="Arial" w:cs="Arial"/>
                <w:color w:val="000000"/>
                <w:sz w:val="18"/>
                <w:szCs w:val="18"/>
              </w:rPr>
              <w:br/>
            </w:r>
            <w:r w:rsidRPr="000155BB">
              <w:rPr>
                <w:rFonts w:ascii="Arial" w:eastAsia="Times New Roman" w:hAnsi="Arial" w:cs="Arial"/>
                <w:color w:val="000000"/>
                <w:sz w:val="18"/>
                <w:szCs w:val="18"/>
              </w:rPr>
              <w:br/>
              <w:t>Peer teaching evaluations (every three years)</w:t>
            </w:r>
            <w:r w:rsidRPr="000155BB">
              <w:rPr>
                <w:rFonts w:ascii="Arial" w:eastAsia="Times New Roman" w:hAnsi="Arial" w:cs="Arial"/>
                <w:color w:val="000000"/>
                <w:sz w:val="18"/>
                <w:szCs w:val="18"/>
              </w:rPr>
              <w:br/>
            </w:r>
            <w:r w:rsidRPr="000155BB">
              <w:rPr>
                <w:rFonts w:ascii="Arial" w:eastAsia="Times New Roman" w:hAnsi="Arial" w:cs="Arial"/>
                <w:color w:val="000000"/>
                <w:sz w:val="18"/>
                <w:szCs w:val="18"/>
              </w:rPr>
              <w:br/>
              <w:t>Student focus groups (question 4)</w:t>
            </w:r>
          </w:p>
        </w:tc>
        <w:tc>
          <w:tcPr>
            <w:tcW w:w="2260" w:type="dxa"/>
            <w:tcBorders>
              <w:top w:val="nil"/>
              <w:left w:val="nil"/>
              <w:bottom w:val="single" w:sz="4" w:space="0" w:color="auto"/>
              <w:right w:val="single" w:sz="4" w:space="0" w:color="auto"/>
            </w:tcBorders>
            <w:hideMark/>
          </w:tcPr>
          <w:p w14:paraId="0780F2FF"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reviews executive summary report at faculty retreat</w:t>
            </w:r>
          </w:p>
        </w:tc>
        <w:tc>
          <w:tcPr>
            <w:tcW w:w="1430" w:type="dxa"/>
            <w:tcBorders>
              <w:top w:val="nil"/>
              <w:left w:val="nil"/>
              <w:bottom w:val="single" w:sz="4" w:space="0" w:color="auto"/>
              <w:right w:val="single" w:sz="4" w:space="0" w:color="auto"/>
            </w:tcBorders>
            <w:vAlign w:val="center"/>
            <w:hideMark/>
          </w:tcPr>
          <w:p w14:paraId="78F6CC8B" w14:textId="70D4C35F"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 xml:space="preserve">E3 </w:t>
            </w:r>
            <w:r w:rsidRPr="000155BB">
              <w:rPr>
                <w:rFonts w:ascii="Arial" w:eastAsia="Times New Roman" w:hAnsi="Arial" w:cs="Arial"/>
                <w:color w:val="000000"/>
                <w:sz w:val="18"/>
                <w:szCs w:val="18"/>
              </w:rPr>
              <w:br/>
              <w:t>E3.2</w:t>
            </w:r>
          </w:p>
        </w:tc>
      </w:tr>
      <w:tr w:rsidR="000155BB" w:rsidRPr="000155BB" w14:paraId="4ECA36B7" w14:textId="77777777" w:rsidTr="000E7112">
        <w:trPr>
          <w:trHeight w:val="782"/>
        </w:trPr>
        <w:tc>
          <w:tcPr>
            <w:tcW w:w="3150" w:type="dxa"/>
            <w:tcBorders>
              <w:top w:val="nil"/>
              <w:left w:val="single" w:sz="4" w:space="0" w:color="auto"/>
              <w:bottom w:val="single" w:sz="4" w:space="0" w:color="auto"/>
              <w:right w:val="single" w:sz="4" w:space="0" w:color="auto"/>
            </w:tcBorders>
            <w:hideMark/>
          </w:tcPr>
          <w:p w14:paraId="5B15B9C3"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Faculty use meaningful rubrics in courses to promote student success</w:t>
            </w:r>
          </w:p>
        </w:tc>
        <w:tc>
          <w:tcPr>
            <w:tcW w:w="2430" w:type="dxa"/>
            <w:tcBorders>
              <w:top w:val="nil"/>
              <w:left w:val="nil"/>
              <w:bottom w:val="single" w:sz="4" w:space="0" w:color="auto"/>
              <w:right w:val="single" w:sz="4" w:space="0" w:color="auto"/>
            </w:tcBorders>
            <w:noWrap/>
            <w:hideMark/>
          </w:tcPr>
          <w:p w14:paraId="6B84438E"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Peer teaching evaluation</w:t>
            </w:r>
          </w:p>
        </w:tc>
        <w:tc>
          <w:tcPr>
            <w:tcW w:w="2260" w:type="dxa"/>
            <w:tcBorders>
              <w:top w:val="nil"/>
              <w:left w:val="nil"/>
              <w:bottom w:val="single" w:sz="4" w:space="0" w:color="auto"/>
              <w:right w:val="single" w:sz="4" w:space="0" w:color="auto"/>
            </w:tcBorders>
            <w:hideMark/>
          </w:tcPr>
          <w:p w14:paraId="4C2096FF"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All faculty members review at faculty meeting, every three years</w:t>
            </w:r>
          </w:p>
        </w:tc>
        <w:tc>
          <w:tcPr>
            <w:tcW w:w="1430" w:type="dxa"/>
            <w:tcBorders>
              <w:top w:val="nil"/>
              <w:left w:val="nil"/>
              <w:bottom w:val="single" w:sz="4" w:space="0" w:color="auto"/>
              <w:right w:val="single" w:sz="4" w:space="0" w:color="auto"/>
            </w:tcBorders>
            <w:vAlign w:val="center"/>
            <w:hideMark/>
          </w:tcPr>
          <w:p w14:paraId="194D8A95"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E3.5</w:t>
            </w:r>
          </w:p>
        </w:tc>
      </w:tr>
      <w:tr w:rsidR="000155BB" w:rsidRPr="000155BB" w14:paraId="65540A20" w14:textId="77777777" w:rsidTr="00B62ECC">
        <w:trPr>
          <w:trHeight w:val="1574"/>
        </w:trPr>
        <w:tc>
          <w:tcPr>
            <w:tcW w:w="3150" w:type="dxa"/>
            <w:tcBorders>
              <w:top w:val="nil"/>
              <w:left w:val="single" w:sz="4" w:space="0" w:color="auto"/>
              <w:bottom w:val="single" w:sz="4" w:space="0" w:color="auto"/>
              <w:right w:val="single" w:sz="4" w:space="0" w:color="auto"/>
            </w:tcBorders>
            <w:hideMark/>
          </w:tcPr>
          <w:p w14:paraId="3EA1FA5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APE experiences facilitate student proficiency of public health competencies</w:t>
            </w:r>
          </w:p>
        </w:tc>
        <w:tc>
          <w:tcPr>
            <w:tcW w:w="2430" w:type="dxa"/>
            <w:tcBorders>
              <w:top w:val="nil"/>
              <w:left w:val="nil"/>
              <w:bottom w:val="single" w:sz="4" w:space="0" w:color="auto"/>
              <w:right w:val="single" w:sz="4" w:space="0" w:color="auto"/>
            </w:tcBorders>
            <w:hideMark/>
          </w:tcPr>
          <w:p w14:paraId="670E097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 xml:space="preserve">APE preceptor evaluation question on student proficiency APE student evaluation question on self-evaluation of meeting competency proficiency </w:t>
            </w:r>
          </w:p>
        </w:tc>
        <w:tc>
          <w:tcPr>
            <w:tcW w:w="2260" w:type="dxa"/>
            <w:tcBorders>
              <w:top w:val="nil"/>
              <w:left w:val="nil"/>
              <w:bottom w:val="single" w:sz="4" w:space="0" w:color="auto"/>
              <w:right w:val="single" w:sz="4" w:space="0" w:color="auto"/>
            </w:tcBorders>
            <w:hideMark/>
          </w:tcPr>
          <w:p w14:paraId="208CF71D"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APE faculty supervisor presents at HEP MPH faculty meeting annually</w:t>
            </w:r>
          </w:p>
        </w:tc>
        <w:tc>
          <w:tcPr>
            <w:tcW w:w="1430" w:type="dxa"/>
            <w:tcBorders>
              <w:top w:val="nil"/>
              <w:left w:val="nil"/>
              <w:bottom w:val="single" w:sz="4" w:space="0" w:color="auto"/>
              <w:right w:val="single" w:sz="4" w:space="0" w:color="auto"/>
            </w:tcBorders>
            <w:vAlign w:val="center"/>
            <w:hideMark/>
          </w:tcPr>
          <w:p w14:paraId="5AF0DCD0"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D5</w:t>
            </w:r>
          </w:p>
        </w:tc>
      </w:tr>
      <w:tr w:rsidR="000155BB" w:rsidRPr="000155BB" w14:paraId="602E548F" w14:textId="77777777" w:rsidTr="00B62ECC">
        <w:trPr>
          <w:trHeight w:val="980"/>
        </w:trPr>
        <w:tc>
          <w:tcPr>
            <w:tcW w:w="3150" w:type="dxa"/>
            <w:tcBorders>
              <w:top w:val="nil"/>
              <w:left w:val="single" w:sz="4" w:space="0" w:color="auto"/>
              <w:bottom w:val="single" w:sz="4" w:space="0" w:color="auto"/>
              <w:right w:val="single" w:sz="4" w:space="0" w:color="auto"/>
            </w:tcBorders>
            <w:hideMark/>
          </w:tcPr>
          <w:p w14:paraId="6415636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participate in professional development activities related to instruction</w:t>
            </w:r>
          </w:p>
        </w:tc>
        <w:tc>
          <w:tcPr>
            <w:tcW w:w="2430" w:type="dxa"/>
            <w:tcBorders>
              <w:top w:val="nil"/>
              <w:left w:val="nil"/>
              <w:bottom w:val="single" w:sz="4" w:space="0" w:color="auto"/>
              <w:right w:val="single" w:sz="4" w:space="0" w:color="auto"/>
            </w:tcBorders>
            <w:noWrap/>
            <w:hideMark/>
          </w:tcPr>
          <w:p w14:paraId="2393A1AA"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Faculty Survey</w:t>
            </w:r>
          </w:p>
        </w:tc>
        <w:tc>
          <w:tcPr>
            <w:tcW w:w="2260" w:type="dxa"/>
            <w:tcBorders>
              <w:top w:val="nil"/>
              <w:left w:val="nil"/>
              <w:bottom w:val="single" w:sz="4" w:space="0" w:color="auto"/>
              <w:right w:val="single" w:sz="4" w:space="0" w:color="auto"/>
            </w:tcBorders>
            <w:hideMark/>
          </w:tcPr>
          <w:p w14:paraId="71ADCD86"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33B2748F"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E3.5</w:t>
            </w:r>
          </w:p>
        </w:tc>
      </w:tr>
      <w:tr w:rsidR="000155BB" w:rsidRPr="000155BB" w14:paraId="744D165E" w14:textId="77777777" w:rsidTr="000E7112">
        <w:trPr>
          <w:trHeight w:val="270"/>
        </w:trPr>
        <w:tc>
          <w:tcPr>
            <w:tcW w:w="9270" w:type="dxa"/>
            <w:gridSpan w:val="4"/>
            <w:tcBorders>
              <w:top w:val="single" w:sz="4" w:space="0" w:color="auto"/>
              <w:left w:val="single" w:sz="4" w:space="0" w:color="auto"/>
              <w:bottom w:val="single" w:sz="4" w:space="0" w:color="auto"/>
              <w:right w:val="single" w:sz="4" w:space="0" w:color="000000"/>
            </w:tcBorders>
            <w:shd w:val="clear" w:color="auto" w:fill="D9D9D9"/>
            <w:hideMark/>
          </w:tcPr>
          <w:p w14:paraId="6C6EDE25"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Times New Roman" w:hAnsi="Arial" w:cs="Arial"/>
                <w:b/>
                <w:bCs/>
                <w:color w:val="000000"/>
                <w:sz w:val="18"/>
                <w:szCs w:val="18"/>
              </w:rPr>
              <w:t>Goal 3: Engage in service to the profession, community, and university (Service Goal).</w:t>
            </w:r>
          </w:p>
        </w:tc>
      </w:tr>
      <w:tr w:rsidR="000155BB" w:rsidRPr="000155BB" w14:paraId="74F41C62" w14:textId="77777777" w:rsidTr="00B62ECC">
        <w:trPr>
          <w:trHeight w:val="953"/>
        </w:trPr>
        <w:tc>
          <w:tcPr>
            <w:tcW w:w="3150" w:type="dxa"/>
            <w:tcBorders>
              <w:top w:val="nil"/>
              <w:left w:val="single" w:sz="4" w:space="0" w:color="auto"/>
              <w:bottom w:val="single" w:sz="4" w:space="0" w:color="auto"/>
              <w:right w:val="single" w:sz="4" w:space="0" w:color="auto"/>
            </w:tcBorders>
            <w:hideMark/>
          </w:tcPr>
          <w:p w14:paraId="4C6007C3"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review manuscripts and abstracts in service to the public health profession</w:t>
            </w:r>
          </w:p>
        </w:tc>
        <w:tc>
          <w:tcPr>
            <w:tcW w:w="2430" w:type="dxa"/>
            <w:tcBorders>
              <w:top w:val="nil"/>
              <w:left w:val="nil"/>
              <w:bottom w:val="single" w:sz="4" w:space="0" w:color="auto"/>
              <w:right w:val="single" w:sz="4" w:space="0" w:color="auto"/>
            </w:tcBorders>
            <w:hideMark/>
          </w:tcPr>
          <w:p w14:paraId="1B16A82C"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4F3E5BC7"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2653B93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E5</w:t>
            </w:r>
          </w:p>
        </w:tc>
      </w:tr>
      <w:tr w:rsidR="000155BB" w:rsidRPr="000155BB" w14:paraId="45EC7A7E" w14:textId="77777777" w:rsidTr="00B62ECC">
        <w:trPr>
          <w:trHeight w:val="953"/>
        </w:trPr>
        <w:tc>
          <w:tcPr>
            <w:tcW w:w="3150" w:type="dxa"/>
            <w:tcBorders>
              <w:top w:val="nil"/>
              <w:left w:val="single" w:sz="4" w:space="0" w:color="auto"/>
              <w:bottom w:val="single" w:sz="4" w:space="0" w:color="auto"/>
              <w:right w:val="single" w:sz="4" w:space="0" w:color="auto"/>
            </w:tcBorders>
            <w:hideMark/>
          </w:tcPr>
          <w:p w14:paraId="53F1D36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maintain professional memberships in public health–related organizations</w:t>
            </w:r>
          </w:p>
        </w:tc>
        <w:tc>
          <w:tcPr>
            <w:tcW w:w="2430" w:type="dxa"/>
            <w:tcBorders>
              <w:top w:val="nil"/>
              <w:left w:val="nil"/>
              <w:bottom w:val="single" w:sz="4" w:space="0" w:color="auto"/>
              <w:right w:val="single" w:sz="4" w:space="0" w:color="auto"/>
            </w:tcBorders>
            <w:hideMark/>
          </w:tcPr>
          <w:p w14:paraId="7F484E1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13E7C3BC"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3D4CC9F4"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E3.5</w:t>
            </w:r>
            <w:r w:rsidRPr="000155BB">
              <w:rPr>
                <w:rFonts w:ascii="Arial" w:eastAsia="Times New Roman" w:hAnsi="Arial" w:cs="Arial"/>
                <w:color w:val="000000"/>
                <w:sz w:val="18"/>
                <w:szCs w:val="18"/>
              </w:rPr>
              <w:br/>
              <w:t>E3.1</w:t>
            </w:r>
          </w:p>
        </w:tc>
      </w:tr>
      <w:tr w:rsidR="000155BB" w:rsidRPr="000155BB" w14:paraId="4E6FE946" w14:textId="77777777" w:rsidTr="00B62ECC">
        <w:trPr>
          <w:trHeight w:val="944"/>
        </w:trPr>
        <w:tc>
          <w:tcPr>
            <w:tcW w:w="3150" w:type="dxa"/>
            <w:tcBorders>
              <w:top w:val="nil"/>
              <w:left w:val="single" w:sz="4" w:space="0" w:color="auto"/>
              <w:bottom w:val="single" w:sz="4" w:space="0" w:color="auto"/>
              <w:right w:val="single" w:sz="4" w:space="0" w:color="auto"/>
            </w:tcBorders>
            <w:hideMark/>
          </w:tcPr>
          <w:p w14:paraId="1C24205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serve on professional public health boards and coalitions and/or participate in invited presentations</w:t>
            </w:r>
          </w:p>
        </w:tc>
        <w:tc>
          <w:tcPr>
            <w:tcW w:w="2430" w:type="dxa"/>
            <w:tcBorders>
              <w:top w:val="nil"/>
              <w:left w:val="nil"/>
              <w:bottom w:val="single" w:sz="4" w:space="0" w:color="auto"/>
              <w:right w:val="single" w:sz="4" w:space="0" w:color="auto"/>
            </w:tcBorders>
            <w:hideMark/>
          </w:tcPr>
          <w:p w14:paraId="30F9B160"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76168ECE"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5A717A5B"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E5.5</w:t>
            </w:r>
            <w:r w:rsidRPr="000155BB">
              <w:rPr>
                <w:rFonts w:ascii="Arial" w:eastAsia="Times New Roman" w:hAnsi="Arial" w:cs="Arial"/>
                <w:color w:val="000000"/>
                <w:sz w:val="18"/>
                <w:szCs w:val="18"/>
              </w:rPr>
              <w:br/>
            </w:r>
            <w:r w:rsidRPr="000155BB">
              <w:rPr>
                <w:rFonts w:ascii="Arial" w:eastAsia="Times New Roman" w:hAnsi="Arial" w:cs="Arial"/>
                <w:color w:val="000000"/>
                <w:sz w:val="18"/>
                <w:szCs w:val="18"/>
              </w:rPr>
              <w:br/>
              <w:t xml:space="preserve">E5.3 </w:t>
            </w:r>
          </w:p>
        </w:tc>
      </w:tr>
      <w:tr w:rsidR="000155BB" w:rsidRPr="000155BB" w14:paraId="2EDF5314" w14:textId="77777777" w:rsidTr="00B62ECC">
        <w:trPr>
          <w:trHeight w:val="989"/>
        </w:trPr>
        <w:tc>
          <w:tcPr>
            <w:tcW w:w="3150" w:type="dxa"/>
            <w:tcBorders>
              <w:top w:val="nil"/>
              <w:left w:val="single" w:sz="4" w:space="0" w:color="auto"/>
              <w:bottom w:val="single" w:sz="4" w:space="0" w:color="auto"/>
              <w:right w:val="single" w:sz="4" w:space="0" w:color="auto"/>
            </w:tcBorders>
            <w:hideMark/>
          </w:tcPr>
          <w:p w14:paraId="3654F1B4"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participate in committees and governance at the department, college, and/or university level</w:t>
            </w:r>
          </w:p>
        </w:tc>
        <w:tc>
          <w:tcPr>
            <w:tcW w:w="2430" w:type="dxa"/>
            <w:tcBorders>
              <w:top w:val="nil"/>
              <w:left w:val="nil"/>
              <w:bottom w:val="single" w:sz="4" w:space="0" w:color="auto"/>
              <w:right w:val="single" w:sz="4" w:space="0" w:color="auto"/>
            </w:tcBorders>
            <w:hideMark/>
          </w:tcPr>
          <w:p w14:paraId="73C966F8"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Annual</w:t>
            </w:r>
          </w:p>
          <w:p w14:paraId="10803D78"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Faculty Survey</w:t>
            </w:r>
          </w:p>
        </w:tc>
        <w:tc>
          <w:tcPr>
            <w:tcW w:w="2260" w:type="dxa"/>
            <w:tcBorders>
              <w:top w:val="nil"/>
              <w:left w:val="nil"/>
              <w:bottom w:val="single" w:sz="4" w:space="0" w:color="auto"/>
              <w:right w:val="single" w:sz="4" w:space="0" w:color="auto"/>
            </w:tcBorders>
            <w:hideMark/>
          </w:tcPr>
          <w:p w14:paraId="22C2E45C"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29BF6701"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A1.4</w:t>
            </w:r>
          </w:p>
        </w:tc>
      </w:tr>
      <w:tr w:rsidR="000155BB" w:rsidRPr="000155BB" w14:paraId="55A43C58" w14:textId="77777777" w:rsidTr="000E7112">
        <w:trPr>
          <w:trHeight w:val="593"/>
        </w:trPr>
        <w:tc>
          <w:tcPr>
            <w:tcW w:w="3150" w:type="dxa"/>
            <w:tcBorders>
              <w:top w:val="nil"/>
              <w:left w:val="single" w:sz="4" w:space="0" w:color="auto"/>
              <w:bottom w:val="single" w:sz="4" w:space="0" w:color="auto"/>
              <w:right w:val="single" w:sz="4" w:space="0" w:color="auto"/>
            </w:tcBorders>
            <w:hideMark/>
          </w:tcPr>
          <w:p w14:paraId="4882E535"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students engage in public health service and trainings</w:t>
            </w:r>
          </w:p>
        </w:tc>
        <w:tc>
          <w:tcPr>
            <w:tcW w:w="2430" w:type="dxa"/>
            <w:tcBorders>
              <w:top w:val="nil"/>
              <w:left w:val="nil"/>
              <w:bottom w:val="single" w:sz="4" w:space="0" w:color="auto"/>
              <w:right w:val="single" w:sz="4" w:space="0" w:color="auto"/>
            </w:tcBorders>
            <w:hideMark/>
          </w:tcPr>
          <w:p w14:paraId="609FEBE8"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 xml:space="preserve">Pre-Advising Survey </w:t>
            </w:r>
          </w:p>
        </w:tc>
        <w:tc>
          <w:tcPr>
            <w:tcW w:w="2260" w:type="dxa"/>
            <w:tcBorders>
              <w:top w:val="nil"/>
              <w:left w:val="nil"/>
              <w:bottom w:val="single" w:sz="4" w:space="0" w:color="auto"/>
              <w:right w:val="single" w:sz="4" w:space="0" w:color="auto"/>
            </w:tcBorders>
            <w:hideMark/>
          </w:tcPr>
          <w:p w14:paraId="722A1252"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MPH Director reviews</w:t>
            </w:r>
          </w:p>
        </w:tc>
        <w:tc>
          <w:tcPr>
            <w:tcW w:w="1430" w:type="dxa"/>
            <w:tcBorders>
              <w:top w:val="nil"/>
              <w:left w:val="nil"/>
              <w:bottom w:val="single" w:sz="4" w:space="0" w:color="auto"/>
              <w:right w:val="single" w:sz="4" w:space="0" w:color="auto"/>
            </w:tcBorders>
            <w:vAlign w:val="center"/>
            <w:hideMark/>
          </w:tcPr>
          <w:p w14:paraId="530DDB55"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F2</w:t>
            </w:r>
          </w:p>
        </w:tc>
      </w:tr>
      <w:tr w:rsidR="000155BB" w:rsidRPr="000155BB" w14:paraId="16E7ED53" w14:textId="77777777" w:rsidTr="000E7112">
        <w:trPr>
          <w:trHeight w:val="555"/>
        </w:trPr>
        <w:tc>
          <w:tcPr>
            <w:tcW w:w="9270" w:type="dxa"/>
            <w:gridSpan w:val="4"/>
            <w:tcBorders>
              <w:top w:val="single" w:sz="4" w:space="0" w:color="auto"/>
              <w:left w:val="single" w:sz="4" w:space="0" w:color="auto"/>
              <w:bottom w:val="single" w:sz="4" w:space="0" w:color="auto"/>
              <w:right w:val="single" w:sz="4" w:space="0" w:color="000000"/>
            </w:tcBorders>
            <w:shd w:val="clear" w:color="auto" w:fill="D9D9D9"/>
            <w:hideMark/>
          </w:tcPr>
          <w:p w14:paraId="18ABEE76" w14:textId="77777777" w:rsidR="000155BB" w:rsidRPr="000155BB" w:rsidRDefault="000155BB" w:rsidP="000155BB">
            <w:pPr>
              <w:spacing w:after="0" w:line="240" w:lineRule="auto"/>
              <w:rPr>
                <w:rFonts w:ascii="Arial" w:eastAsia="Times New Roman" w:hAnsi="Arial" w:cs="Arial"/>
                <w:b/>
                <w:bCs/>
                <w:color w:val="000000"/>
                <w:sz w:val="18"/>
                <w:szCs w:val="18"/>
              </w:rPr>
            </w:pPr>
            <w:r w:rsidRPr="000155BB">
              <w:rPr>
                <w:rFonts w:ascii="Arial" w:eastAsia="Calibri" w:hAnsi="Arial" w:cs="Arial"/>
                <w:sz w:val="18"/>
                <w:szCs w:val="18"/>
              </w:rPr>
              <w:br w:type="page"/>
            </w:r>
            <w:r w:rsidRPr="000155BB">
              <w:rPr>
                <w:rFonts w:ascii="Arial" w:eastAsia="Times New Roman" w:hAnsi="Arial" w:cs="Arial"/>
                <w:b/>
                <w:bCs/>
                <w:color w:val="000000"/>
                <w:sz w:val="18"/>
                <w:szCs w:val="18"/>
              </w:rPr>
              <w:t>Goal 4: Advance the field of public health through scholarly activity, intellectual discovery, and/or research (Scholarship Goal).</w:t>
            </w:r>
          </w:p>
        </w:tc>
      </w:tr>
      <w:tr w:rsidR="000155BB" w:rsidRPr="000155BB" w14:paraId="68890C59" w14:textId="77777777" w:rsidTr="000E7112">
        <w:trPr>
          <w:trHeight w:val="863"/>
        </w:trPr>
        <w:tc>
          <w:tcPr>
            <w:tcW w:w="3150" w:type="dxa"/>
            <w:tcBorders>
              <w:top w:val="nil"/>
              <w:left w:val="single" w:sz="4" w:space="0" w:color="auto"/>
              <w:bottom w:val="single" w:sz="4" w:space="0" w:color="auto"/>
              <w:right w:val="single" w:sz="4" w:space="0" w:color="auto"/>
            </w:tcBorders>
            <w:hideMark/>
          </w:tcPr>
          <w:p w14:paraId="5A88556E"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publish in public health peer-reviewed outlets</w:t>
            </w:r>
          </w:p>
        </w:tc>
        <w:tc>
          <w:tcPr>
            <w:tcW w:w="2430" w:type="dxa"/>
            <w:tcBorders>
              <w:top w:val="nil"/>
              <w:left w:val="nil"/>
              <w:bottom w:val="single" w:sz="4" w:space="0" w:color="auto"/>
              <w:right w:val="single" w:sz="4" w:space="0" w:color="auto"/>
            </w:tcBorders>
            <w:hideMark/>
          </w:tcPr>
          <w:p w14:paraId="3B42335B"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75B8EE17"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5292E5DC"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E4: Faculty scholarship</w:t>
            </w:r>
            <w:r w:rsidRPr="000155BB">
              <w:rPr>
                <w:rFonts w:ascii="Arial" w:eastAsia="Times New Roman" w:hAnsi="Arial" w:cs="Arial"/>
                <w:color w:val="000000"/>
                <w:sz w:val="18"/>
                <w:szCs w:val="18"/>
              </w:rPr>
              <w:br/>
            </w:r>
            <w:r w:rsidRPr="000155BB">
              <w:rPr>
                <w:rFonts w:ascii="Arial" w:eastAsia="Times New Roman" w:hAnsi="Arial" w:cs="Arial"/>
                <w:color w:val="000000"/>
                <w:sz w:val="18"/>
                <w:szCs w:val="18"/>
              </w:rPr>
              <w:br/>
              <w:t>E4.1(template)</w:t>
            </w:r>
          </w:p>
        </w:tc>
      </w:tr>
      <w:tr w:rsidR="000155BB" w:rsidRPr="000155BB" w14:paraId="472C9572" w14:textId="77777777" w:rsidTr="000E7112">
        <w:trPr>
          <w:trHeight w:val="854"/>
        </w:trPr>
        <w:tc>
          <w:tcPr>
            <w:tcW w:w="3150" w:type="dxa"/>
            <w:tcBorders>
              <w:top w:val="nil"/>
              <w:left w:val="single" w:sz="4" w:space="0" w:color="auto"/>
              <w:bottom w:val="single" w:sz="4" w:space="0" w:color="auto"/>
              <w:right w:val="single" w:sz="4" w:space="0" w:color="auto"/>
            </w:tcBorders>
            <w:hideMark/>
          </w:tcPr>
          <w:p w14:paraId="6CABB3F5"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disseminate public health knowledge at scholarly venues</w:t>
            </w:r>
          </w:p>
        </w:tc>
        <w:tc>
          <w:tcPr>
            <w:tcW w:w="2430" w:type="dxa"/>
            <w:tcBorders>
              <w:top w:val="nil"/>
              <w:left w:val="nil"/>
              <w:bottom w:val="single" w:sz="4" w:space="0" w:color="auto"/>
              <w:right w:val="single" w:sz="4" w:space="0" w:color="auto"/>
            </w:tcBorders>
            <w:hideMark/>
          </w:tcPr>
          <w:p w14:paraId="1223A0FD"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7BE3BB6F"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6A9A93FF"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E4.1(template)</w:t>
            </w:r>
          </w:p>
        </w:tc>
      </w:tr>
      <w:tr w:rsidR="000155BB" w:rsidRPr="000155BB" w14:paraId="37F8B387" w14:textId="77777777" w:rsidTr="000E7112">
        <w:trPr>
          <w:trHeight w:val="890"/>
        </w:trPr>
        <w:tc>
          <w:tcPr>
            <w:tcW w:w="3150" w:type="dxa"/>
            <w:tcBorders>
              <w:top w:val="nil"/>
              <w:left w:val="single" w:sz="4" w:space="0" w:color="auto"/>
              <w:bottom w:val="single" w:sz="4" w:space="0" w:color="auto"/>
              <w:right w:val="single" w:sz="4" w:space="0" w:color="auto"/>
            </w:tcBorders>
            <w:hideMark/>
          </w:tcPr>
          <w:p w14:paraId="146E2144"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lastRenderedPageBreak/>
              <w:t>HEP MPH students collaborate with faculty on public health scholarly activities</w:t>
            </w:r>
          </w:p>
        </w:tc>
        <w:tc>
          <w:tcPr>
            <w:tcW w:w="2430" w:type="dxa"/>
            <w:tcBorders>
              <w:top w:val="nil"/>
              <w:left w:val="nil"/>
              <w:bottom w:val="single" w:sz="4" w:space="0" w:color="auto"/>
              <w:right w:val="single" w:sz="4" w:space="0" w:color="auto"/>
            </w:tcBorders>
            <w:hideMark/>
          </w:tcPr>
          <w:p w14:paraId="5FFEE1ED"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502E3217"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174472E7"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E4.1(template) and E4.4</w:t>
            </w:r>
          </w:p>
        </w:tc>
      </w:tr>
      <w:tr w:rsidR="000155BB" w:rsidRPr="000155BB" w14:paraId="29F70C34" w14:textId="77777777" w:rsidTr="000E7112">
        <w:trPr>
          <w:trHeight w:val="908"/>
        </w:trPr>
        <w:tc>
          <w:tcPr>
            <w:tcW w:w="3150" w:type="dxa"/>
            <w:tcBorders>
              <w:top w:val="nil"/>
              <w:left w:val="single" w:sz="4" w:space="0" w:color="auto"/>
              <w:bottom w:val="single" w:sz="4" w:space="0" w:color="auto"/>
              <w:right w:val="single" w:sz="4" w:space="0" w:color="auto"/>
            </w:tcBorders>
            <w:hideMark/>
          </w:tcPr>
          <w:p w14:paraId="5B0C10F1"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HEP MPH faculty stay current on public health advancements through attendance at state, regional, and/or national meetings and conferences</w:t>
            </w:r>
          </w:p>
        </w:tc>
        <w:tc>
          <w:tcPr>
            <w:tcW w:w="2430" w:type="dxa"/>
            <w:tcBorders>
              <w:top w:val="nil"/>
              <w:left w:val="nil"/>
              <w:bottom w:val="single" w:sz="4" w:space="0" w:color="auto"/>
              <w:right w:val="single" w:sz="4" w:space="0" w:color="auto"/>
            </w:tcBorders>
            <w:hideMark/>
          </w:tcPr>
          <w:p w14:paraId="78F2D1A7"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Annual Faculty Survey</w:t>
            </w:r>
          </w:p>
        </w:tc>
        <w:tc>
          <w:tcPr>
            <w:tcW w:w="2260" w:type="dxa"/>
            <w:tcBorders>
              <w:top w:val="nil"/>
              <w:left w:val="nil"/>
              <w:bottom w:val="single" w:sz="4" w:space="0" w:color="auto"/>
              <w:right w:val="single" w:sz="4" w:space="0" w:color="auto"/>
            </w:tcBorders>
            <w:hideMark/>
          </w:tcPr>
          <w:p w14:paraId="1661E749" w14:textId="77777777" w:rsidR="000155BB" w:rsidRPr="000155BB" w:rsidRDefault="000155BB" w:rsidP="000155BB">
            <w:pPr>
              <w:spacing w:after="0" w:line="240" w:lineRule="auto"/>
              <w:rPr>
                <w:rFonts w:ascii="Arial" w:eastAsia="Times New Roman" w:hAnsi="Arial" w:cs="Arial"/>
                <w:color w:val="000000"/>
                <w:sz w:val="18"/>
                <w:szCs w:val="18"/>
              </w:rPr>
            </w:pPr>
            <w:r w:rsidRPr="000155BB">
              <w:rPr>
                <w:rFonts w:ascii="Arial" w:eastAsia="Times New Roman" w:hAnsi="Arial" w:cs="Arial"/>
                <w:color w:val="000000"/>
                <w:sz w:val="18"/>
                <w:szCs w:val="18"/>
              </w:rPr>
              <w:t>Assessment Committee executive summary report presented at the faculty retreat</w:t>
            </w:r>
          </w:p>
        </w:tc>
        <w:tc>
          <w:tcPr>
            <w:tcW w:w="1430" w:type="dxa"/>
            <w:tcBorders>
              <w:top w:val="nil"/>
              <w:left w:val="nil"/>
              <w:bottom w:val="single" w:sz="4" w:space="0" w:color="auto"/>
              <w:right w:val="single" w:sz="4" w:space="0" w:color="auto"/>
            </w:tcBorders>
            <w:vAlign w:val="center"/>
            <w:hideMark/>
          </w:tcPr>
          <w:p w14:paraId="44F2997C" w14:textId="77777777" w:rsidR="000155BB" w:rsidRPr="000155BB" w:rsidRDefault="000155BB" w:rsidP="000155BB">
            <w:pPr>
              <w:spacing w:after="0" w:line="240" w:lineRule="auto"/>
              <w:jc w:val="both"/>
              <w:rPr>
                <w:rFonts w:ascii="Arial" w:eastAsia="Times New Roman" w:hAnsi="Arial" w:cs="Arial"/>
                <w:color w:val="000000"/>
                <w:sz w:val="18"/>
                <w:szCs w:val="18"/>
              </w:rPr>
            </w:pPr>
            <w:r w:rsidRPr="000155BB">
              <w:rPr>
                <w:rFonts w:ascii="Arial" w:eastAsia="Times New Roman" w:hAnsi="Arial" w:cs="Arial"/>
                <w:color w:val="000000"/>
                <w:sz w:val="18"/>
                <w:szCs w:val="18"/>
              </w:rPr>
              <w:t>E3</w:t>
            </w:r>
          </w:p>
        </w:tc>
      </w:tr>
    </w:tbl>
    <w:p w14:paraId="5D6028B1" w14:textId="77777777" w:rsidR="000155BB" w:rsidRDefault="000155BB" w:rsidP="000155BB">
      <w:pPr>
        <w:autoSpaceDE w:val="0"/>
        <w:autoSpaceDN w:val="0"/>
        <w:adjustRightInd w:val="0"/>
        <w:spacing w:after="0" w:line="240" w:lineRule="auto"/>
        <w:ind w:left="720"/>
        <w:rPr>
          <w:rFonts w:ascii="Arial" w:eastAsia="Calibri" w:hAnsi="Arial" w:cs="Arial"/>
          <w:b/>
          <w:sz w:val="20"/>
          <w:szCs w:val="20"/>
        </w:rPr>
      </w:pPr>
    </w:p>
    <w:p w14:paraId="6596608C" w14:textId="16769E58" w:rsidR="000155BB" w:rsidRPr="000155BB" w:rsidRDefault="000E7112" w:rsidP="000E7112">
      <w:pPr>
        <w:autoSpaceDE w:val="0"/>
        <w:autoSpaceDN w:val="0"/>
        <w:adjustRightInd w:val="0"/>
        <w:spacing w:after="0" w:line="240" w:lineRule="auto"/>
        <w:ind w:left="720" w:hanging="720"/>
        <w:rPr>
          <w:rFonts w:ascii="Arial" w:eastAsia="Calibri" w:hAnsi="Arial" w:cs="Arial"/>
          <w:b/>
          <w:sz w:val="20"/>
          <w:szCs w:val="20"/>
        </w:rPr>
      </w:pPr>
      <w:r>
        <w:rPr>
          <w:rFonts w:ascii="Arial" w:eastAsia="Calibri" w:hAnsi="Arial" w:cs="Arial"/>
          <w:b/>
          <w:sz w:val="20"/>
          <w:szCs w:val="20"/>
        </w:rPr>
        <w:t>B5-2.</w:t>
      </w:r>
      <w:r>
        <w:rPr>
          <w:rFonts w:ascii="Arial" w:eastAsia="Calibri" w:hAnsi="Arial" w:cs="Arial"/>
          <w:b/>
          <w:sz w:val="20"/>
          <w:szCs w:val="20"/>
        </w:rPr>
        <w:tab/>
      </w:r>
      <w:r w:rsidR="000155BB" w:rsidRPr="000155BB">
        <w:rPr>
          <w:rFonts w:ascii="Arial" w:eastAsia="Calibri" w:hAnsi="Arial" w:cs="Arial"/>
          <w:b/>
          <w:sz w:val="20"/>
          <w:szCs w:val="20"/>
        </w:rPr>
        <w:t xml:space="preserve">Briefly describe how the chosen evaluation methods and measures track the program’s progress in advancing the field of public health (including instruction, scholarship and service) and promoting student success. ERF for all data collection methods </w:t>
      </w:r>
    </w:p>
    <w:p w14:paraId="5502CBB3" w14:textId="77777777" w:rsidR="000155BB" w:rsidRPr="000155BB" w:rsidRDefault="000155BB" w:rsidP="000155BB">
      <w:pPr>
        <w:autoSpaceDE w:val="0"/>
        <w:autoSpaceDN w:val="0"/>
        <w:adjustRightInd w:val="0"/>
        <w:spacing w:after="0" w:line="240" w:lineRule="auto"/>
        <w:rPr>
          <w:rFonts w:ascii="Arial" w:eastAsia="Calibri" w:hAnsi="Arial" w:cs="Arial"/>
          <w:sz w:val="20"/>
          <w:szCs w:val="20"/>
        </w:rPr>
      </w:pPr>
    </w:p>
    <w:p w14:paraId="674D80FE"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r w:rsidRPr="000155BB">
        <w:rPr>
          <w:rFonts w:ascii="Arial" w:eastAsia="Calibri" w:hAnsi="Arial" w:cs="Arial"/>
          <w:sz w:val="20"/>
          <w:szCs w:val="20"/>
        </w:rPr>
        <w:t xml:space="preserve">The evaluation measures used were developed to correlate with the program’s mission to recruit and serve rural, non-traditional, and diverse students. In addition, the goals and corresponding measures were created to evaluate outcomes related to degree accessibility, instructional quality, engagement in scholarship, and service by students and faculty. All four program goals support the program mission by advancing public health and ensuring student success. The goals also support USU’s mission as a land-grant institution by delivering a high-quality program to residents throughout Utah. </w:t>
      </w:r>
    </w:p>
    <w:p w14:paraId="235A90DA"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p>
    <w:p w14:paraId="6473C958"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r w:rsidRPr="000155BB">
        <w:rPr>
          <w:rFonts w:ascii="Arial" w:eastAsia="Calibri" w:hAnsi="Arial" w:cs="Arial"/>
          <w:sz w:val="20"/>
          <w:szCs w:val="20"/>
        </w:rPr>
        <w:t xml:space="preserve">The program advances the field of public health by recruiting and training students who are traditionally underrepresent in graduate education and in the field of public health. Goal 1 provides data to determine if the degree is reaching a variety of student demographics while maintaining a culturally competent and supportive environment for all students and faculty. Goal 2 ensures the program is collecting data to evaluate the instructional quality of the program, which in turn advances the field and promotes student success. Students should leave the HEP MPH degree with the necessary tools to promote public health effectively, having been taught and mentored by a well-qualified, competent faculty. Through authentic learning experiences, valuable APE placements, and engagement with faculty who remain current in the field, the degree can prepare the successful graduate for a career in the field of public health. Goals 3 and 4 focus on service and scholarship. Data provided to measure these goals help the program determine if faculty and students engage in research, provide professional service, and attend trainings that promote the field of public health. The competency-based nature of the degree is critical for advancing the field by ensuring student success through real-world assignments and experiences that are led by a qualified faculty. </w:t>
      </w:r>
    </w:p>
    <w:p w14:paraId="4900201E"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p>
    <w:p w14:paraId="24DCEF00"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r w:rsidRPr="000155BB">
        <w:rPr>
          <w:rFonts w:ascii="Arial" w:eastAsia="Calibri" w:hAnsi="Arial" w:cs="Arial"/>
          <w:sz w:val="20"/>
          <w:szCs w:val="20"/>
        </w:rPr>
        <w:t>Data related to guiding statements are collected through alumni surveys and focus groups, along with current student surveys and focus groups. APE preceptors and students provide feedback on many aspects of the applied practice experience. Additional data are collected through faculty surveys, course peer reviews, USU Online marketing data, and attendance at regional events. Outcomes of evaluation activities can be found in other self-study sections (sections E, F, and H)</w:t>
      </w:r>
    </w:p>
    <w:p w14:paraId="4AC98D25" w14:textId="77777777" w:rsidR="000155BB" w:rsidRPr="000155BB" w:rsidRDefault="000155BB" w:rsidP="000155BB">
      <w:pPr>
        <w:autoSpaceDE w:val="0"/>
        <w:autoSpaceDN w:val="0"/>
        <w:adjustRightInd w:val="0"/>
        <w:spacing w:after="0" w:line="240" w:lineRule="auto"/>
        <w:rPr>
          <w:rFonts w:ascii="Arial" w:eastAsia="Calibri" w:hAnsi="Arial" w:cs="Arial"/>
          <w:sz w:val="20"/>
          <w:szCs w:val="20"/>
        </w:rPr>
      </w:pPr>
    </w:p>
    <w:p w14:paraId="31389C7C" w14:textId="77777777" w:rsidR="000155BB" w:rsidRPr="000155BB" w:rsidRDefault="000155BB" w:rsidP="000155BB">
      <w:pPr>
        <w:numPr>
          <w:ilvl w:val="0"/>
          <w:numId w:val="1"/>
        </w:numPr>
        <w:autoSpaceDE w:val="0"/>
        <w:autoSpaceDN w:val="0"/>
        <w:adjustRightInd w:val="0"/>
        <w:spacing w:after="0" w:line="240" w:lineRule="auto"/>
        <w:rPr>
          <w:rFonts w:ascii="Arial" w:eastAsia="Calibri" w:hAnsi="Arial" w:cs="Arial"/>
          <w:b/>
          <w:sz w:val="20"/>
          <w:szCs w:val="20"/>
        </w:rPr>
      </w:pPr>
      <w:r w:rsidRPr="000155BB">
        <w:rPr>
          <w:rFonts w:ascii="Arial" w:eastAsia="Calibri" w:hAnsi="Arial" w:cs="Arial"/>
          <w:b/>
          <w:sz w:val="20"/>
          <w:szCs w:val="20"/>
        </w:rPr>
        <w:t xml:space="preserve">Provide evidence of implementation of the plan described in Template B5-1. Evidence may include reports or data summaries prepared for review, minutes of meetings at which results were discussed, etc. Evidence must document examination of progress and impact on both public health as a field and student success. </w:t>
      </w:r>
    </w:p>
    <w:p w14:paraId="63D804EE" w14:textId="77777777" w:rsidR="000155BB" w:rsidRPr="000155BB" w:rsidRDefault="000155BB" w:rsidP="000155BB">
      <w:pPr>
        <w:autoSpaceDE w:val="0"/>
        <w:autoSpaceDN w:val="0"/>
        <w:adjustRightInd w:val="0"/>
        <w:spacing w:after="0" w:line="240" w:lineRule="auto"/>
        <w:rPr>
          <w:rFonts w:ascii="Arial" w:eastAsia="Calibri" w:hAnsi="Arial" w:cs="Arial"/>
          <w:sz w:val="20"/>
          <w:szCs w:val="20"/>
        </w:rPr>
      </w:pPr>
    </w:p>
    <w:p w14:paraId="71420E07"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r w:rsidRPr="000155BB">
        <w:rPr>
          <w:rFonts w:ascii="Arial" w:eastAsia="Calibri" w:hAnsi="Arial" w:cs="Arial"/>
          <w:sz w:val="20"/>
          <w:szCs w:val="20"/>
        </w:rPr>
        <w:t>Evidence of implementation of the program’s evaluation plan as outlined in B5 can be found in the following ERF files:</w:t>
      </w:r>
    </w:p>
    <w:p w14:paraId="0E210E25" w14:textId="77777777" w:rsidR="000155BB" w:rsidRPr="000155BB" w:rsidRDefault="000155BB" w:rsidP="000155BB">
      <w:pPr>
        <w:autoSpaceDE w:val="0"/>
        <w:autoSpaceDN w:val="0"/>
        <w:adjustRightInd w:val="0"/>
        <w:spacing w:after="0" w:line="240" w:lineRule="auto"/>
        <w:rPr>
          <w:rFonts w:ascii="Arial" w:eastAsia="Calibri" w:hAnsi="Arial" w:cs="Arial"/>
          <w:sz w:val="20"/>
          <w:szCs w:val="20"/>
        </w:rPr>
      </w:pPr>
    </w:p>
    <w:p w14:paraId="25284EA0" w14:textId="77777777" w:rsidR="000155BB" w:rsidRPr="000155BB" w:rsidRDefault="000155BB" w:rsidP="000155BB">
      <w:pPr>
        <w:autoSpaceDE w:val="0"/>
        <w:autoSpaceDN w:val="0"/>
        <w:adjustRightInd w:val="0"/>
        <w:spacing w:after="0" w:line="240" w:lineRule="auto"/>
        <w:ind w:left="720"/>
        <w:rPr>
          <w:rFonts w:ascii="Arial" w:eastAsia="Calibri" w:hAnsi="Arial" w:cs="Arial"/>
          <w:b/>
          <w:iCs/>
          <w:sz w:val="20"/>
          <w:szCs w:val="20"/>
        </w:rPr>
      </w:pPr>
      <w:r w:rsidRPr="000155BB">
        <w:rPr>
          <w:rFonts w:ascii="Arial" w:eastAsia="Calibri" w:hAnsi="Arial" w:cs="Arial"/>
          <w:b/>
          <w:iCs/>
          <w:sz w:val="20"/>
          <w:szCs w:val="20"/>
        </w:rPr>
        <w:t>ERF Location: B5.3 Evidence for evaluation plan folder</w:t>
      </w:r>
    </w:p>
    <w:p w14:paraId="165D17E9"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B5-3 Peer Review folder</w:t>
      </w:r>
    </w:p>
    <w:p w14:paraId="0C6AF993" w14:textId="77777777"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t>Alumni Focus Group Summary Dec 2020</w:t>
      </w:r>
    </w:p>
    <w:p w14:paraId="7EF52B27" w14:textId="77777777"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t>Alumni Focus Groups Fall 2021</w:t>
      </w:r>
    </w:p>
    <w:p w14:paraId="1E85848F" w14:textId="77777777"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Alumni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2020</w:t>
      </w:r>
    </w:p>
    <w:p w14:paraId="033B3280" w14:textId="77777777"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lastRenderedPageBreak/>
        <w:t xml:space="preserve">Alumni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2021</w:t>
      </w:r>
    </w:p>
    <w:p w14:paraId="110D1618" w14:textId="69AD71B3"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Annual Faculty Retreat 05.25&amp;26.2021 </w:t>
      </w:r>
    </w:p>
    <w:p w14:paraId="3E155609"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APE Site Preceptor Feedback Excerpts</w:t>
      </w:r>
    </w:p>
    <w:p w14:paraId="53927468"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APE Student Feedback Excerpts</w:t>
      </w:r>
    </w:p>
    <w:p w14:paraId="34888B28"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Current Student Focus Group Summary Dec 2020</w:t>
      </w:r>
    </w:p>
    <w:p w14:paraId="754F3B0B"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Current Student Focus Groups Fall 2021</w:t>
      </w:r>
    </w:p>
    <w:p w14:paraId="7B991A11" w14:textId="77777777" w:rsidR="000155BB" w:rsidRPr="000155BB" w:rsidRDefault="000155BB" w:rsidP="000155BB">
      <w:pPr>
        <w:autoSpaceDE w:val="0"/>
        <w:autoSpaceDN w:val="0"/>
        <w:adjustRightInd w:val="0"/>
        <w:spacing w:after="0" w:line="240" w:lineRule="auto"/>
        <w:ind w:left="720"/>
        <w:rPr>
          <w:rFonts w:ascii="Arial" w:eastAsia="Calibri" w:hAnsi="Arial" w:cs="Arial"/>
          <w:color w:val="000000"/>
          <w:sz w:val="20"/>
          <w:szCs w:val="24"/>
        </w:rPr>
      </w:pPr>
      <w:r w:rsidRPr="000155BB">
        <w:rPr>
          <w:rFonts w:ascii="Arial" w:eastAsia="Calibri" w:hAnsi="Arial" w:cs="Arial"/>
          <w:color w:val="000000"/>
          <w:sz w:val="20"/>
          <w:szCs w:val="24"/>
        </w:rPr>
        <w:t xml:space="preserve">Demographic Student Data from </w:t>
      </w:r>
      <w:proofErr w:type="spellStart"/>
      <w:r w:rsidRPr="000155BB">
        <w:rPr>
          <w:rFonts w:ascii="Arial" w:eastAsia="Calibri" w:hAnsi="Arial" w:cs="Arial"/>
          <w:color w:val="000000"/>
          <w:sz w:val="20"/>
          <w:szCs w:val="24"/>
        </w:rPr>
        <w:t>eGrad</w:t>
      </w:r>
      <w:proofErr w:type="spellEnd"/>
      <w:r w:rsidRPr="000155BB">
        <w:rPr>
          <w:rFonts w:ascii="Arial" w:eastAsia="Calibri" w:hAnsi="Arial" w:cs="Arial"/>
          <w:color w:val="000000"/>
          <w:sz w:val="20"/>
          <w:szCs w:val="24"/>
        </w:rPr>
        <w:t xml:space="preserve"> and Argos </w:t>
      </w:r>
    </w:p>
    <w:p w14:paraId="3B89EECB"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Faculty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2020</w:t>
      </w:r>
    </w:p>
    <w:p w14:paraId="359ABBE3"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Faculty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2021</w:t>
      </w:r>
    </w:p>
    <w:p w14:paraId="0C26BAA6" w14:textId="6B7103D8"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Fall 2021 MPH Orientation Agenda </w:t>
      </w:r>
    </w:p>
    <w:p w14:paraId="44D33B36"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IDEA Summary Score 2017-2021</w:t>
      </w:r>
    </w:p>
    <w:p w14:paraId="76935656"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Marketing Data 2016-2021</w:t>
      </w:r>
    </w:p>
    <w:p w14:paraId="0D642BA3" w14:textId="77777777" w:rsidR="000155BB" w:rsidRPr="000155BB" w:rsidRDefault="000155BB" w:rsidP="000155BB">
      <w:pPr>
        <w:autoSpaceDE w:val="0"/>
        <w:autoSpaceDN w:val="0"/>
        <w:adjustRightInd w:val="0"/>
        <w:spacing w:after="0" w:line="240" w:lineRule="auto"/>
        <w:ind w:left="720"/>
        <w:rPr>
          <w:rFonts w:ascii="Arial" w:eastAsia="Calibri" w:hAnsi="Arial" w:cs="Arial"/>
          <w:iCs/>
          <w:sz w:val="20"/>
          <w:szCs w:val="20"/>
        </w:rPr>
      </w:pPr>
      <w:r w:rsidRPr="000155BB">
        <w:rPr>
          <w:rFonts w:ascii="Arial" w:eastAsia="Calibri" w:hAnsi="Arial" w:cs="Arial"/>
          <w:iCs/>
          <w:sz w:val="20"/>
          <w:szCs w:val="20"/>
        </w:rPr>
        <w:t>Marketing Report Summary 2016-2021</w:t>
      </w:r>
    </w:p>
    <w:p w14:paraId="56EAD292" w14:textId="2B0EA231"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Meeting Minutes 10-06-2021 </w:t>
      </w:r>
    </w:p>
    <w:p w14:paraId="099D1A63"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Pre-advising Report Questions</w:t>
      </w:r>
    </w:p>
    <w:p w14:paraId="6B09F84B"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Student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2020</w:t>
      </w:r>
    </w:p>
    <w:p w14:paraId="78873527" w14:textId="77777777" w:rsidR="000155BB" w:rsidRPr="000155BB" w:rsidRDefault="000155BB" w:rsidP="000155BB">
      <w:pPr>
        <w:spacing w:after="0" w:line="240" w:lineRule="auto"/>
        <w:ind w:left="720"/>
        <w:rPr>
          <w:rFonts w:ascii="Arial" w:eastAsia="Calibri" w:hAnsi="Arial" w:cs="Arial"/>
          <w:iCs/>
          <w:sz w:val="20"/>
          <w:szCs w:val="20"/>
        </w:rPr>
      </w:pPr>
      <w:r w:rsidRPr="000155BB">
        <w:rPr>
          <w:rFonts w:ascii="Arial" w:eastAsia="Calibri" w:hAnsi="Arial" w:cs="Arial"/>
          <w:iCs/>
          <w:sz w:val="20"/>
          <w:szCs w:val="20"/>
        </w:rPr>
        <w:t xml:space="preserve">Student Survey Executive </w:t>
      </w:r>
      <w:proofErr w:type="spellStart"/>
      <w:r w:rsidRPr="000155BB">
        <w:rPr>
          <w:rFonts w:ascii="Arial" w:eastAsia="Calibri" w:hAnsi="Arial" w:cs="Arial"/>
          <w:iCs/>
          <w:sz w:val="20"/>
          <w:szCs w:val="20"/>
        </w:rPr>
        <w:t>Report_Fall</w:t>
      </w:r>
      <w:proofErr w:type="spellEnd"/>
      <w:r w:rsidRPr="000155BB">
        <w:rPr>
          <w:rFonts w:ascii="Arial" w:eastAsia="Calibri" w:hAnsi="Arial" w:cs="Arial"/>
          <w:iCs/>
          <w:sz w:val="20"/>
          <w:szCs w:val="20"/>
        </w:rPr>
        <w:t xml:space="preserve"> 2021</w:t>
      </w:r>
    </w:p>
    <w:p w14:paraId="760F0630" w14:textId="77777777" w:rsidR="000155BB" w:rsidRPr="000155BB" w:rsidRDefault="000155BB" w:rsidP="000155BB">
      <w:pPr>
        <w:spacing w:after="0" w:line="240" w:lineRule="auto"/>
        <w:ind w:left="720"/>
        <w:rPr>
          <w:rFonts w:ascii="Arial" w:eastAsia="Calibri" w:hAnsi="Arial" w:cs="Arial"/>
          <w:iCs/>
          <w:sz w:val="20"/>
          <w:szCs w:val="20"/>
        </w:rPr>
      </w:pPr>
    </w:p>
    <w:p w14:paraId="396D445E" w14:textId="77777777" w:rsidR="000155BB" w:rsidRPr="000155BB" w:rsidRDefault="000155BB" w:rsidP="000155BB">
      <w:pPr>
        <w:numPr>
          <w:ilvl w:val="0"/>
          <w:numId w:val="1"/>
        </w:numPr>
        <w:autoSpaceDE w:val="0"/>
        <w:autoSpaceDN w:val="0"/>
        <w:adjustRightInd w:val="0"/>
        <w:spacing w:after="0" w:line="240" w:lineRule="auto"/>
        <w:rPr>
          <w:rFonts w:ascii="Arial" w:eastAsia="Calibri" w:hAnsi="Arial" w:cs="Arial"/>
          <w:sz w:val="20"/>
          <w:szCs w:val="20"/>
        </w:rPr>
      </w:pPr>
      <w:r w:rsidRPr="000155BB">
        <w:rPr>
          <w:rFonts w:ascii="Arial" w:eastAsia="Calibri" w:hAnsi="Arial" w:cs="Arial"/>
          <w:sz w:val="20"/>
          <w:szCs w:val="20"/>
        </w:rPr>
        <w:t xml:space="preserve">If applicable, assess strengths and weaknesses related to this criterion and plans for improvement in this area. </w:t>
      </w:r>
    </w:p>
    <w:p w14:paraId="2FE49767" w14:textId="77777777" w:rsidR="000155BB" w:rsidRPr="000155BB" w:rsidRDefault="000155BB" w:rsidP="000155BB">
      <w:pPr>
        <w:autoSpaceDE w:val="0"/>
        <w:autoSpaceDN w:val="0"/>
        <w:adjustRightInd w:val="0"/>
        <w:spacing w:after="0" w:line="240" w:lineRule="auto"/>
        <w:ind w:left="720"/>
        <w:rPr>
          <w:rFonts w:ascii="Arial" w:eastAsia="Calibri" w:hAnsi="Arial" w:cs="Arial"/>
          <w:sz w:val="20"/>
          <w:szCs w:val="20"/>
        </w:rPr>
      </w:pPr>
    </w:p>
    <w:p w14:paraId="6F91084E" w14:textId="77777777" w:rsidR="000155BB" w:rsidRPr="000155BB" w:rsidRDefault="000155BB" w:rsidP="000155BB">
      <w:pPr>
        <w:autoSpaceDE w:val="0"/>
        <w:autoSpaceDN w:val="0"/>
        <w:adjustRightInd w:val="0"/>
        <w:spacing w:after="0" w:line="240" w:lineRule="auto"/>
        <w:ind w:left="720"/>
        <w:rPr>
          <w:rFonts w:ascii="Arial" w:eastAsia="Calibri" w:hAnsi="Arial" w:cs="Arial"/>
          <w:b/>
          <w:sz w:val="20"/>
          <w:szCs w:val="20"/>
        </w:rPr>
      </w:pPr>
      <w:r w:rsidRPr="000155BB">
        <w:rPr>
          <w:rFonts w:ascii="Arial" w:eastAsia="Calibri" w:hAnsi="Arial" w:cs="Arial"/>
          <w:b/>
          <w:sz w:val="20"/>
          <w:szCs w:val="20"/>
        </w:rPr>
        <w:t>Strengths:</w:t>
      </w:r>
    </w:p>
    <w:p w14:paraId="29F899E3" w14:textId="77777777" w:rsidR="000155BB" w:rsidRPr="000155BB" w:rsidRDefault="000155BB" w:rsidP="000155BB">
      <w:pPr>
        <w:numPr>
          <w:ilvl w:val="0"/>
          <w:numId w:val="4"/>
        </w:numPr>
        <w:autoSpaceDE w:val="0"/>
        <w:autoSpaceDN w:val="0"/>
        <w:adjustRightInd w:val="0"/>
        <w:spacing w:after="0" w:line="240" w:lineRule="auto"/>
        <w:ind w:left="1080"/>
        <w:rPr>
          <w:rFonts w:ascii="Arial" w:eastAsia="Calibri" w:hAnsi="Arial" w:cs="Arial"/>
          <w:sz w:val="20"/>
          <w:szCs w:val="20"/>
        </w:rPr>
      </w:pPr>
      <w:r w:rsidRPr="000155BB">
        <w:rPr>
          <w:rFonts w:ascii="Arial" w:eastAsia="Calibri" w:hAnsi="Arial" w:cs="Arial"/>
          <w:sz w:val="20"/>
          <w:szCs w:val="20"/>
        </w:rPr>
        <w:t xml:space="preserve">The initial development of guiding statements required multiple efforts by faculty. This resulted in a better and more accurate description of the program, which has ultimately become a strength. </w:t>
      </w:r>
    </w:p>
    <w:p w14:paraId="4134758D" w14:textId="77777777" w:rsidR="000155BB" w:rsidRPr="000155BB" w:rsidRDefault="000155BB" w:rsidP="000155BB">
      <w:pPr>
        <w:autoSpaceDE w:val="0"/>
        <w:autoSpaceDN w:val="0"/>
        <w:adjustRightInd w:val="0"/>
        <w:spacing w:after="0" w:line="240" w:lineRule="auto"/>
        <w:ind w:left="720"/>
        <w:rPr>
          <w:rFonts w:ascii="Arial" w:eastAsia="Calibri" w:hAnsi="Arial" w:cs="Arial"/>
          <w:b/>
          <w:sz w:val="20"/>
          <w:szCs w:val="20"/>
        </w:rPr>
      </w:pPr>
      <w:r w:rsidRPr="000155BB">
        <w:rPr>
          <w:rFonts w:ascii="Arial" w:eastAsia="Calibri" w:hAnsi="Arial" w:cs="Arial"/>
          <w:b/>
          <w:sz w:val="20"/>
          <w:szCs w:val="20"/>
        </w:rPr>
        <w:t>Weaknesses:</w:t>
      </w:r>
    </w:p>
    <w:p w14:paraId="148E8522" w14:textId="77777777" w:rsidR="000155BB" w:rsidRPr="000155BB" w:rsidRDefault="000155BB" w:rsidP="000155BB">
      <w:pPr>
        <w:numPr>
          <w:ilvl w:val="0"/>
          <w:numId w:val="3"/>
        </w:numPr>
        <w:autoSpaceDE w:val="0"/>
        <w:autoSpaceDN w:val="0"/>
        <w:adjustRightInd w:val="0"/>
        <w:spacing w:after="0" w:line="240" w:lineRule="auto"/>
        <w:ind w:left="1080"/>
        <w:rPr>
          <w:rFonts w:ascii="Arial" w:eastAsia="Calibri" w:hAnsi="Arial" w:cs="Arial"/>
          <w:sz w:val="20"/>
          <w:szCs w:val="20"/>
        </w:rPr>
      </w:pPr>
      <w:r w:rsidRPr="000155BB">
        <w:rPr>
          <w:rFonts w:ascii="Arial" w:eastAsia="Calibri" w:hAnsi="Arial" w:cs="Arial"/>
          <w:sz w:val="20"/>
          <w:szCs w:val="20"/>
        </w:rPr>
        <w:t>However, as the guiding statements changed, so did the evaluation measures resulting in less data collected over time.</w:t>
      </w:r>
    </w:p>
    <w:p w14:paraId="3A9613D6" w14:textId="5129EDD7" w:rsidR="000155BB" w:rsidRPr="00B62ECC" w:rsidRDefault="000155BB" w:rsidP="000155BB">
      <w:pPr>
        <w:numPr>
          <w:ilvl w:val="0"/>
          <w:numId w:val="3"/>
        </w:numPr>
        <w:autoSpaceDE w:val="0"/>
        <w:autoSpaceDN w:val="0"/>
        <w:adjustRightInd w:val="0"/>
        <w:spacing w:after="0" w:line="240" w:lineRule="auto"/>
        <w:ind w:left="1080"/>
        <w:rPr>
          <w:rFonts w:ascii="Arial" w:eastAsia="Calibri" w:hAnsi="Arial" w:cs="Arial"/>
          <w:sz w:val="20"/>
          <w:szCs w:val="20"/>
        </w:rPr>
      </w:pPr>
      <w:r w:rsidRPr="000155BB">
        <w:rPr>
          <w:rFonts w:ascii="Arial" w:eastAsia="Calibri" w:hAnsi="Arial" w:cs="Arial"/>
          <w:color w:val="000000"/>
          <w:sz w:val="20"/>
          <w:szCs w:val="24"/>
        </w:rPr>
        <w:t xml:space="preserve">Due to the multi-year process of refining the guiding statements, documentation of data at times is limited in some areas. For example, marketing data were not consistently tracked since the start of the program in 2017. </w:t>
      </w:r>
    </w:p>
    <w:p w14:paraId="509624CD" w14:textId="77777777" w:rsidR="00B62ECC" w:rsidRPr="000155BB" w:rsidRDefault="00B62ECC" w:rsidP="00B62ECC">
      <w:pPr>
        <w:autoSpaceDE w:val="0"/>
        <w:autoSpaceDN w:val="0"/>
        <w:adjustRightInd w:val="0"/>
        <w:spacing w:after="0" w:line="240" w:lineRule="auto"/>
        <w:ind w:left="1080"/>
        <w:rPr>
          <w:rFonts w:ascii="Arial" w:eastAsia="Calibri" w:hAnsi="Arial" w:cs="Arial"/>
          <w:sz w:val="20"/>
          <w:szCs w:val="20"/>
        </w:rPr>
      </w:pPr>
    </w:p>
    <w:p w14:paraId="2A83D235" w14:textId="77777777" w:rsidR="000155BB" w:rsidRPr="000155BB" w:rsidRDefault="000155BB" w:rsidP="000155BB">
      <w:pPr>
        <w:autoSpaceDE w:val="0"/>
        <w:autoSpaceDN w:val="0"/>
        <w:adjustRightInd w:val="0"/>
        <w:spacing w:after="0" w:line="240" w:lineRule="auto"/>
        <w:ind w:left="720"/>
        <w:rPr>
          <w:rFonts w:ascii="Arial" w:eastAsia="Calibri" w:hAnsi="Arial" w:cs="Arial"/>
          <w:b/>
          <w:bCs/>
          <w:sz w:val="20"/>
          <w:szCs w:val="24"/>
        </w:rPr>
      </w:pPr>
      <w:r w:rsidRPr="000155BB">
        <w:rPr>
          <w:rFonts w:ascii="Arial" w:eastAsia="Calibri" w:hAnsi="Arial" w:cs="Arial"/>
          <w:b/>
          <w:bCs/>
          <w:sz w:val="20"/>
          <w:szCs w:val="24"/>
        </w:rPr>
        <w:t>Plans for Improvement:</w:t>
      </w:r>
    </w:p>
    <w:p w14:paraId="1E241073" w14:textId="77777777" w:rsidR="000155BB" w:rsidRPr="000155BB" w:rsidRDefault="000155BB" w:rsidP="000155BB">
      <w:pPr>
        <w:numPr>
          <w:ilvl w:val="0"/>
          <w:numId w:val="2"/>
        </w:numPr>
        <w:autoSpaceDE w:val="0"/>
        <w:autoSpaceDN w:val="0"/>
        <w:adjustRightInd w:val="0"/>
        <w:spacing w:after="0" w:line="240" w:lineRule="auto"/>
        <w:ind w:left="1080"/>
        <w:rPr>
          <w:rFonts w:ascii="Arial" w:eastAsia="Arial Unicode MS" w:hAnsi="Arial" w:cs="Arial"/>
          <w:b/>
          <w:bCs/>
          <w:color w:val="000000"/>
          <w:kern w:val="32"/>
          <w:sz w:val="20"/>
          <w:szCs w:val="20"/>
          <w:lang w:eastAsia="x-none"/>
        </w:rPr>
      </w:pPr>
      <w:r w:rsidRPr="000155BB">
        <w:rPr>
          <w:rFonts w:ascii="Arial" w:eastAsia="Calibri" w:hAnsi="Arial" w:cs="Arial"/>
          <w:sz w:val="20"/>
          <w:szCs w:val="24"/>
        </w:rPr>
        <w:t xml:space="preserve">Now that a data plan and timeline are in place, evaluation will occur more frequently and systematically. </w:t>
      </w:r>
    </w:p>
    <w:p w14:paraId="6897D368" w14:textId="77777777" w:rsidR="000155BB" w:rsidRPr="000155BB" w:rsidRDefault="000155BB" w:rsidP="000155BB">
      <w:pPr>
        <w:numPr>
          <w:ilvl w:val="0"/>
          <w:numId w:val="2"/>
        </w:numPr>
        <w:autoSpaceDE w:val="0"/>
        <w:autoSpaceDN w:val="0"/>
        <w:adjustRightInd w:val="0"/>
        <w:spacing w:after="0" w:line="240" w:lineRule="auto"/>
        <w:ind w:left="1080"/>
        <w:rPr>
          <w:rFonts w:ascii="Arial" w:eastAsia="Arial Unicode MS" w:hAnsi="Arial" w:cs="Arial"/>
          <w:b/>
          <w:bCs/>
          <w:color w:val="000000"/>
          <w:kern w:val="32"/>
          <w:sz w:val="20"/>
          <w:szCs w:val="20"/>
          <w:lang w:eastAsia="x-none"/>
        </w:rPr>
      </w:pPr>
      <w:r w:rsidRPr="000155BB">
        <w:rPr>
          <w:rFonts w:ascii="Arial" w:eastAsia="Calibri" w:hAnsi="Arial" w:cs="Arial"/>
          <w:color w:val="000000"/>
          <w:sz w:val="20"/>
          <w:szCs w:val="24"/>
        </w:rPr>
        <w:t xml:space="preserve">In all cases, the program now has a data collection plan that will better measure success in achieving program goals moving forward. </w:t>
      </w:r>
    </w:p>
    <w:p w14:paraId="65A8549F" w14:textId="77777777" w:rsidR="00717296" w:rsidRDefault="00717296"/>
    <w:sectPr w:rsidR="00717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1BC9"/>
    <w:multiLevelType w:val="hybridMultilevel"/>
    <w:tmpl w:val="2DD22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F1E32"/>
    <w:multiLevelType w:val="hybridMultilevel"/>
    <w:tmpl w:val="4CF49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010B99"/>
    <w:multiLevelType w:val="hybridMultilevel"/>
    <w:tmpl w:val="A69AE96A"/>
    <w:lvl w:ilvl="0" w:tplc="38AEEB3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C63066"/>
    <w:multiLevelType w:val="hybridMultilevel"/>
    <w:tmpl w:val="D5189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96"/>
    <w:rsid w:val="000155BB"/>
    <w:rsid w:val="00020415"/>
    <w:rsid w:val="000E7112"/>
    <w:rsid w:val="000F47B9"/>
    <w:rsid w:val="00146475"/>
    <w:rsid w:val="003401CF"/>
    <w:rsid w:val="004A657C"/>
    <w:rsid w:val="004B0CEC"/>
    <w:rsid w:val="004F277E"/>
    <w:rsid w:val="00651F24"/>
    <w:rsid w:val="006C0DFA"/>
    <w:rsid w:val="00717296"/>
    <w:rsid w:val="00731807"/>
    <w:rsid w:val="00991A71"/>
    <w:rsid w:val="00B0694B"/>
    <w:rsid w:val="00B5489E"/>
    <w:rsid w:val="00B62ECC"/>
    <w:rsid w:val="00BC3221"/>
    <w:rsid w:val="00BE6891"/>
    <w:rsid w:val="00E815E2"/>
    <w:rsid w:val="00EF042F"/>
    <w:rsid w:val="00F96349"/>
    <w:rsid w:val="00FE6FE5"/>
    <w:rsid w:val="19363735"/>
    <w:rsid w:val="57ECF5A2"/>
    <w:rsid w:val="5D7D7057"/>
    <w:rsid w:val="6E589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AF1A"/>
  <w15:chartTrackingRefBased/>
  <w15:docId w15:val="{BAB3094A-D8D7-4FFE-B471-72B93AC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415"/>
    <w:rPr>
      <w:sz w:val="16"/>
      <w:szCs w:val="16"/>
    </w:rPr>
  </w:style>
  <w:style w:type="paragraph" w:styleId="CommentText">
    <w:name w:val="annotation text"/>
    <w:basedOn w:val="Normal"/>
    <w:link w:val="CommentTextChar"/>
    <w:uiPriority w:val="99"/>
    <w:semiHidden/>
    <w:unhideWhenUsed/>
    <w:rsid w:val="00020415"/>
    <w:pPr>
      <w:spacing w:line="240" w:lineRule="auto"/>
    </w:pPr>
    <w:rPr>
      <w:sz w:val="20"/>
      <w:szCs w:val="20"/>
    </w:rPr>
  </w:style>
  <w:style w:type="character" w:customStyle="1" w:styleId="CommentTextChar">
    <w:name w:val="Comment Text Char"/>
    <w:basedOn w:val="DefaultParagraphFont"/>
    <w:link w:val="CommentText"/>
    <w:uiPriority w:val="99"/>
    <w:semiHidden/>
    <w:rsid w:val="00020415"/>
    <w:rPr>
      <w:sz w:val="20"/>
      <w:szCs w:val="20"/>
    </w:rPr>
  </w:style>
  <w:style w:type="paragraph" w:styleId="CommentSubject">
    <w:name w:val="annotation subject"/>
    <w:basedOn w:val="CommentText"/>
    <w:next w:val="CommentText"/>
    <w:link w:val="CommentSubjectChar"/>
    <w:uiPriority w:val="99"/>
    <w:semiHidden/>
    <w:unhideWhenUsed/>
    <w:rsid w:val="00020415"/>
    <w:rPr>
      <w:b/>
      <w:bCs/>
    </w:rPr>
  </w:style>
  <w:style w:type="character" w:customStyle="1" w:styleId="CommentSubjectChar">
    <w:name w:val="Comment Subject Char"/>
    <w:basedOn w:val="CommentTextChar"/>
    <w:link w:val="CommentSubject"/>
    <w:uiPriority w:val="99"/>
    <w:semiHidden/>
    <w:rsid w:val="000204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11097</Characters>
  <Application>Microsoft Office Word</Application>
  <DocSecurity>0</DocSecurity>
  <Lines>213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HEPMPH</dc:creator>
  <cp:keywords/>
  <dc:description/>
  <cp:lastModifiedBy>Melissa Johnson</cp:lastModifiedBy>
  <cp:revision>2</cp:revision>
  <dcterms:created xsi:type="dcterms:W3CDTF">2025-10-27T22:16:00Z</dcterms:created>
  <dcterms:modified xsi:type="dcterms:W3CDTF">2025-10-27T22:16:00Z</dcterms:modified>
</cp:coreProperties>
</file>